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32CAC1E1" w14:textId="77777777" w:rsidR="00DF70F0" w:rsidRDefault="00DF70F0" w:rsidP="00860E0A">
      <w:pPr>
        <w:jc w:val="center"/>
      </w:pPr>
    </w:p>
    <w:p w14:paraId="277C9C4C" w14:textId="77777777" w:rsidR="00DF70F0" w:rsidRDefault="00DF70F0" w:rsidP="00860E0A">
      <w:pPr>
        <w:jc w:val="center"/>
      </w:pPr>
      <w:r>
        <w:t>Emma</w:t>
      </w:r>
      <w:r w:rsidR="00860E0A">
        <w:t xml:space="preserve"> B.</w:t>
      </w:r>
      <w:r>
        <w:t xml:space="preserve"> Timmins-Schiffman</w:t>
      </w:r>
    </w:p>
    <w:p w14:paraId="7284D4FD" w14:textId="77777777" w:rsidR="00DF70F0" w:rsidRDefault="00DF70F0" w:rsidP="00860E0A">
      <w:pPr>
        <w:jc w:val="center"/>
      </w:pPr>
    </w:p>
    <w:p w14:paraId="6CEBF5C1" w14:textId="77777777" w:rsidR="00DF70F0" w:rsidRDefault="00DF70F0" w:rsidP="00860E0A">
      <w:pPr>
        <w:jc w:val="center"/>
      </w:pPr>
      <w:r>
        <w:t>A dissertation</w:t>
      </w:r>
    </w:p>
    <w:p w14:paraId="333FD318" w14:textId="77777777" w:rsidR="00DF70F0" w:rsidRDefault="00DF70F0" w:rsidP="00860E0A">
      <w:pPr>
        <w:jc w:val="center"/>
      </w:pPr>
      <w:r>
        <w:t>Submitted in partial fulfillment of the</w:t>
      </w:r>
    </w:p>
    <w:p w14:paraId="3291FB70" w14:textId="77777777" w:rsidR="00DF70F0" w:rsidRDefault="00DF70F0" w:rsidP="00860E0A">
      <w:pPr>
        <w:jc w:val="center"/>
      </w:pPr>
      <w:r>
        <w:t>Requirements for the degree of</w:t>
      </w:r>
    </w:p>
    <w:p w14:paraId="2567C89D" w14:textId="77777777" w:rsidR="00DF70F0" w:rsidRDefault="00DF70F0" w:rsidP="00860E0A">
      <w:pPr>
        <w:jc w:val="center"/>
      </w:pPr>
    </w:p>
    <w:p w14:paraId="1987E91B" w14:textId="77777777" w:rsidR="00DF70F0" w:rsidRDefault="00DF70F0" w:rsidP="00860E0A">
      <w:pPr>
        <w:jc w:val="center"/>
      </w:pPr>
    </w:p>
    <w:p w14:paraId="0E0681E2" w14:textId="77777777" w:rsidR="00DF70F0" w:rsidRDefault="00DF70F0" w:rsidP="00860E0A">
      <w:pPr>
        <w:jc w:val="center"/>
      </w:pPr>
      <w:r>
        <w:t>Doctor of Philosophy</w:t>
      </w:r>
    </w:p>
    <w:p w14:paraId="2AB1831C" w14:textId="77777777" w:rsidR="00DF70F0" w:rsidRDefault="00DF70F0" w:rsidP="00860E0A">
      <w:pPr>
        <w:jc w:val="center"/>
      </w:pPr>
    </w:p>
    <w:p w14:paraId="76FF9200" w14:textId="77777777" w:rsidR="00DF70F0" w:rsidRDefault="00DF70F0" w:rsidP="00860E0A">
      <w:pPr>
        <w:jc w:val="center"/>
      </w:pPr>
    </w:p>
    <w:p w14:paraId="4590F91E" w14:textId="77777777" w:rsidR="00DF70F0" w:rsidRDefault="00DF70F0" w:rsidP="00860E0A">
      <w:pPr>
        <w:jc w:val="center"/>
      </w:pPr>
    </w:p>
    <w:p w14:paraId="65B1DC1F" w14:textId="77777777" w:rsidR="00DF70F0" w:rsidRDefault="00DF70F0" w:rsidP="00860E0A">
      <w:pPr>
        <w:jc w:val="center"/>
      </w:pPr>
      <w:r>
        <w:t>University of Washington</w:t>
      </w:r>
    </w:p>
    <w:p w14:paraId="73568480" w14:textId="77777777" w:rsidR="00DF70F0" w:rsidRDefault="00DF70F0" w:rsidP="00860E0A">
      <w:pPr>
        <w:jc w:val="center"/>
      </w:pPr>
    </w:p>
    <w:p w14:paraId="59260A46" w14:textId="77777777" w:rsidR="00DF70F0" w:rsidRDefault="00DF70F0" w:rsidP="00860E0A">
      <w:pPr>
        <w:jc w:val="center"/>
      </w:pPr>
    </w:p>
    <w:p w14:paraId="23650F4D" w14:textId="77777777" w:rsidR="00DF70F0" w:rsidRDefault="00DF70F0" w:rsidP="00860E0A">
      <w:pPr>
        <w:jc w:val="center"/>
      </w:pPr>
    </w:p>
    <w:p w14:paraId="7708B7B7" w14:textId="77777777" w:rsidR="00DF70F0" w:rsidRDefault="00DF70F0" w:rsidP="00860E0A">
      <w:pPr>
        <w:jc w:val="center"/>
      </w:pPr>
    </w:p>
    <w:p w14:paraId="247CD0E8" w14:textId="77777777" w:rsidR="00DF70F0" w:rsidRDefault="00DF70F0" w:rsidP="00860E0A">
      <w:pPr>
        <w:jc w:val="center"/>
      </w:pPr>
    </w:p>
    <w:p w14:paraId="63671DA2" w14:textId="77777777" w:rsidR="00DF70F0" w:rsidRDefault="00DF70F0" w:rsidP="00860E0A">
      <w:pPr>
        <w:jc w:val="center"/>
      </w:pPr>
    </w:p>
    <w:p w14:paraId="05E8C964" w14:textId="77777777" w:rsidR="00DF70F0" w:rsidRDefault="00DF70F0" w:rsidP="00860E0A">
      <w:pPr>
        <w:jc w:val="center"/>
      </w:pPr>
    </w:p>
    <w:p w14:paraId="4E82A644" w14:textId="77777777" w:rsidR="00DF70F0" w:rsidRDefault="00DF70F0" w:rsidP="00860E0A">
      <w:pPr>
        <w:jc w:val="center"/>
      </w:pPr>
      <w:r>
        <w:t>2014</w:t>
      </w:r>
    </w:p>
    <w:p w14:paraId="05316D9A" w14:textId="77777777" w:rsidR="00DF70F0" w:rsidRDefault="00DF70F0" w:rsidP="00860E0A">
      <w:pPr>
        <w:jc w:val="center"/>
      </w:pPr>
    </w:p>
    <w:p w14:paraId="544659D4" w14:textId="77777777" w:rsidR="00DF70F0" w:rsidRDefault="00DF70F0" w:rsidP="00860E0A">
      <w:pPr>
        <w:jc w:val="center"/>
      </w:pPr>
    </w:p>
    <w:p w14:paraId="29F0EC4A" w14:textId="77777777" w:rsidR="00DF70F0" w:rsidRDefault="00DF70F0" w:rsidP="00860E0A">
      <w:pPr>
        <w:jc w:val="center"/>
      </w:pPr>
    </w:p>
    <w:p w14:paraId="1AA5974C" w14:textId="77777777" w:rsidR="00DF70F0" w:rsidRDefault="00DF70F0" w:rsidP="00860E0A">
      <w:pPr>
        <w:jc w:val="center"/>
      </w:pPr>
    </w:p>
    <w:p w14:paraId="5DA9EBDD" w14:textId="77777777" w:rsidR="00DF70F0" w:rsidRDefault="00DF70F0" w:rsidP="00860E0A">
      <w:pPr>
        <w:jc w:val="center"/>
      </w:pPr>
      <w:r>
        <w:t>Program Authorized to Offer Degree:</w:t>
      </w:r>
    </w:p>
    <w:p w14:paraId="5ACA7266" w14:textId="77777777" w:rsidR="00DF70F0" w:rsidRDefault="00DF70F0" w:rsidP="00860E0A">
      <w:pPr>
        <w:jc w:val="center"/>
      </w:pPr>
      <w:r>
        <w:t>Aquatic and Fishery Sciences</w:t>
      </w:r>
    </w:p>
    <w:p w14:paraId="23938939" w14:textId="77777777" w:rsidR="00DF70F0" w:rsidRDefault="00DF70F0"/>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Default="00DF70F0">
      <w:r>
        <w:lastRenderedPageBreak/>
        <w:t>University of Washington</w:t>
      </w:r>
    </w:p>
    <w:p w14:paraId="2AD00C3D" w14:textId="77777777" w:rsidR="00DF70F0" w:rsidRDefault="00DF70F0"/>
    <w:p w14:paraId="0A724639" w14:textId="77777777" w:rsidR="00DF70F0" w:rsidRDefault="00DF70F0">
      <w:r>
        <w:t xml:space="preserve">Abstract </w:t>
      </w:r>
    </w:p>
    <w:p w14:paraId="5CFCA5D0" w14:textId="77777777" w:rsidR="00DF70F0" w:rsidRDefault="00DF70F0"/>
    <w:p w14:paraId="7781A701" w14:textId="77777777" w:rsidR="00426D9F" w:rsidRDefault="00426D9F" w:rsidP="00426D9F">
      <w:r>
        <w:t xml:space="preserve">The Effects of Ocean Acidification on Multiple Life History Stages of the Pacific Oyster, </w:t>
      </w:r>
      <w:r>
        <w:rPr>
          <w:i/>
        </w:rPr>
        <w:t>Crassostrea gigas</w:t>
      </w:r>
      <w:r>
        <w:t>: Implications for Physiological Trade-offs</w:t>
      </w:r>
    </w:p>
    <w:p w14:paraId="28064812" w14:textId="77777777" w:rsidR="00DF70F0" w:rsidRDefault="00DF70F0"/>
    <w:p w14:paraId="1407AF49" w14:textId="77777777" w:rsidR="00DF70F0" w:rsidRDefault="00DF70F0">
      <w:r>
        <w:t>Emma Timmins-Schiffman</w:t>
      </w:r>
    </w:p>
    <w:p w14:paraId="05DC47B5" w14:textId="77777777" w:rsidR="00DF70F0" w:rsidRDefault="00DF70F0"/>
    <w:p w14:paraId="6EB7A977" w14:textId="77777777" w:rsidR="00DF70F0" w:rsidRDefault="00DF70F0">
      <w:r>
        <w:t>Chair of the Supervisory Committee:</w:t>
      </w:r>
    </w:p>
    <w:p w14:paraId="16ED3BB6" w14:textId="77777777" w:rsidR="00DF70F0" w:rsidRDefault="00DF70F0">
      <w:r>
        <w:t>Assistant Professor Steven B. Roberts</w:t>
      </w:r>
    </w:p>
    <w:p w14:paraId="261863CD" w14:textId="77777777" w:rsidR="00DF70F0" w:rsidRDefault="00DF70F0">
      <w:r>
        <w:t>School of Aquatic and Fishery Sciences</w:t>
      </w:r>
    </w:p>
    <w:p w14:paraId="10B9692C" w14:textId="77777777" w:rsidR="00DF70F0" w:rsidRDefault="00DF70F0"/>
    <w:p w14:paraId="34046B37" w14:textId="77777777" w:rsidR="00C02D9B" w:rsidRDefault="00C02D9B"/>
    <w:p w14:paraId="2891F998" w14:textId="77777777" w:rsidR="00DF70F0" w:rsidRDefault="00DF70F0">
      <w:r>
        <w:t>Table of Contents</w:t>
      </w:r>
    </w:p>
    <w:p w14:paraId="66D26B18" w14:textId="77777777" w:rsidR="009454B5" w:rsidRDefault="009454B5">
      <w:pPr>
        <w:pStyle w:val="TOC1"/>
        <w:tabs>
          <w:tab w:val="right" w:leader="dot" w:pos="8630"/>
        </w:tabs>
        <w:rPr>
          <w:noProof/>
        </w:rPr>
      </w:pPr>
      <w:r>
        <w:fldChar w:fldCharType="begin"/>
      </w:r>
      <w:r>
        <w:instrText xml:space="preserve"> TOC \o "1-3" </w:instrText>
      </w:r>
      <w:r>
        <w:fldChar w:fldCharType="separate"/>
      </w:r>
      <w:r>
        <w:rPr>
          <w:noProof/>
        </w:rPr>
        <w:t>List of Figures</w:t>
      </w:r>
      <w:r>
        <w:rPr>
          <w:noProof/>
        </w:rPr>
        <w:tab/>
      </w:r>
      <w:r>
        <w:rPr>
          <w:noProof/>
        </w:rPr>
        <w:fldChar w:fldCharType="begin"/>
      </w:r>
      <w:r>
        <w:rPr>
          <w:noProof/>
        </w:rPr>
        <w:instrText xml:space="preserve"> PAGEREF _Toc249155340 \h </w:instrText>
      </w:r>
      <w:r>
        <w:rPr>
          <w:noProof/>
        </w:rPr>
      </w:r>
      <w:r>
        <w:rPr>
          <w:noProof/>
        </w:rPr>
        <w:fldChar w:fldCharType="separate"/>
      </w:r>
      <w:r>
        <w:rPr>
          <w:noProof/>
        </w:rPr>
        <w:t>4</w:t>
      </w:r>
      <w:r>
        <w:rPr>
          <w:noProof/>
        </w:rPr>
        <w:fldChar w:fldCharType="end"/>
      </w:r>
    </w:p>
    <w:p w14:paraId="31636783" w14:textId="77777777" w:rsidR="009454B5" w:rsidRDefault="009454B5">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_Toc249155341 \h </w:instrText>
      </w:r>
      <w:r>
        <w:rPr>
          <w:noProof/>
        </w:rPr>
      </w:r>
      <w:r>
        <w:rPr>
          <w:noProof/>
        </w:rPr>
        <w:fldChar w:fldCharType="separate"/>
      </w:r>
      <w:r>
        <w:rPr>
          <w:noProof/>
        </w:rPr>
        <w:t>4</w:t>
      </w:r>
      <w:r>
        <w:rPr>
          <w:noProof/>
        </w:rPr>
        <w:fldChar w:fldCharType="end"/>
      </w:r>
    </w:p>
    <w:p w14:paraId="4D86E6BA" w14:textId="77777777" w:rsidR="009454B5" w:rsidRDefault="009454B5">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_Toc249155342 \h </w:instrText>
      </w:r>
      <w:r>
        <w:rPr>
          <w:noProof/>
        </w:rPr>
      </w:r>
      <w:r>
        <w:rPr>
          <w:noProof/>
        </w:rPr>
        <w:fldChar w:fldCharType="separate"/>
      </w:r>
      <w:r>
        <w:rPr>
          <w:noProof/>
        </w:rPr>
        <w:t>4</w:t>
      </w:r>
      <w:r>
        <w:rPr>
          <w:noProof/>
        </w:rPr>
        <w:fldChar w:fldCharType="end"/>
      </w:r>
    </w:p>
    <w:p w14:paraId="4B4E5B1D" w14:textId="77777777" w:rsidR="009454B5" w:rsidRDefault="009454B5">
      <w:pPr>
        <w:pStyle w:val="TOC2"/>
        <w:tabs>
          <w:tab w:val="right" w:leader="dot" w:pos="8630"/>
        </w:tabs>
        <w:rPr>
          <w:noProof/>
        </w:rPr>
      </w:pPr>
      <w:r>
        <w:rPr>
          <w:noProof/>
        </w:rPr>
        <w:t>Background</w:t>
      </w:r>
      <w:r>
        <w:rPr>
          <w:noProof/>
        </w:rPr>
        <w:tab/>
      </w:r>
      <w:r>
        <w:rPr>
          <w:noProof/>
        </w:rPr>
        <w:fldChar w:fldCharType="begin"/>
      </w:r>
      <w:r>
        <w:rPr>
          <w:noProof/>
        </w:rPr>
        <w:instrText xml:space="preserve"> PAGEREF _Toc249155343 \h </w:instrText>
      </w:r>
      <w:r>
        <w:rPr>
          <w:noProof/>
        </w:rPr>
      </w:r>
      <w:r>
        <w:rPr>
          <w:noProof/>
        </w:rPr>
        <w:fldChar w:fldCharType="separate"/>
      </w:r>
      <w:r>
        <w:rPr>
          <w:noProof/>
        </w:rPr>
        <w:t>4</w:t>
      </w:r>
      <w:r>
        <w:rPr>
          <w:noProof/>
        </w:rPr>
        <w:fldChar w:fldCharType="end"/>
      </w:r>
    </w:p>
    <w:p w14:paraId="180A56CE" w14:textId="77777777" w:rsidR="009454B5" w:rsidRDefault="009454B5">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_Toc249155344 \h </w:instrText>
      </w:r>
      <w:r>
        <w:rPr>
          <w:noProof/>
        </w:rPr>
      </w:r>
      <w:r>
        <w:rPr>
          <w:noProof/>
        </w:rPr>
        <w:fldChar w:fldCharType="separate"/>
      </w:r>
      <w:r>
        <w:rPr>
          <w:noProof/>
        </w:rPr>
        <w:t>4</w:t>
      </w:r>
      <w:r>
        <w:rPr>
          <w:noProof/>
        </w:rPr>
        <w:fldChar w:fldCharType="end"/>
      </w:r>
    </w:p>
    <w:p w14:paraId="5FB0EC8F" w14:textId="77777777" w:rsidR="009454B5" w:rsidRDefault="009454B5" w:rsidP="009454B5">
      <w:pPr>
        <w:pStyle w:val="TOC3"/>
        <w:rPr>
          <w:noProof/>
        </w:rPr>
      </w:pPr>
      <w:r>
        <w:rPr>
          <w:noProof/>
        </w:rPr>
        <w:t>Chemistry</w:t>
      </w:r>
      <w:r>
        <w:rPr>
          <w:noProof/>
        </w:rPr>
        <w:tab/>
      </w:r>
      <w:r>
        <w:rPr>
          <w:noProof/>
        </w:rPr>
        <w:fldChar w:fldCharType="begin"/>
      </w:r>
      <w:r>
        <w:rPr>
          <w:noProof/>
        </w:rPr>
        <w:instrText xml:space="preserve"> PAGEREF _Toc249155345 \h </w:instrText>
      </w:r>
      <w:r>
        <w:rPr>
          <w:noProof/>
        </w:rPr>
      </w:r>
      <w:r>
        <w:rPr>
          <w:noProof/>
        </w:rPr>
        <w:fldChar w:fldCharType="separate"/>
      </w:r>
      <w:r>
        <w:rPr>
          <w:noProof/>
        </w:rPr>
        <w:t>4</w:t>
      </w:r>
      <w:r>
        <w:rPr>
          <w:noProof/>
        </w:rPr>
        <w:fldChar w:fldCharType="end"/>
      </w:r>
    </w:p>
    <w:p w14:paraId="21700DFB" w14:textId="77777777" w:rsidR="009454B5" w:rsidRDefault="009454B5" w:rsidP="009454B5">
      <w:pPr>
        <w:pStyle w:val="TOC3"/>
        <w:rPr>
          <w:noProof/>
        </w:rPr>
      </w:pPr>
      <w:r>
        <w:rPr>
          <w:noProof/>
        </w:rPr>
        <w:t>Nearshore environmental processes</w:t>
      </w:r>
      <w:r>
        <w:rPr>
          <w:noProof/>
        </w:rPr>
        <w:tab/>
      </w:r>
      <w:r>
        <w:rPr>
          <w:noProof/>
        </w:rPr>
        <w:fldChar w:fldCharType="begin"/>
      </w:r>
      <w:r>
        <w:rPr>
          <w:noProof/>
        </w:rPr>
        <w:instrText xml:space="preserve"> PAGEREF _Toc249155346 \h </w:instrText>
      </w:r>
      <w:r>
        <w:rPr>
          <w:noProof/>
        </w:rPr>
      </w:r>
      <w:r>
        <w:rPr>
          <w:noProof/>
        </w:rPr>
        <w:fldChar w:fldCharType="separate"/>
      </w:r>
      <w:r>
        <w:rPr>
          <w:noProof/>
        </w:rPr>
        <w:t>4</w:t>
      </w:r>
      <w:r>
        <w:rPr>
          <w:noProof/>
        </w:rPr>
        <w:fldChar w:fldCharType="end"/>
      </w:r>
    </w:p>
    <w:p w14:paraId="62D51C77" w14:textId="77777777" w:rsidR="009454B5" w:rsidRDefault="009454B5" w:rsidP="009454B5">
      <w:pPr>
        <w:pStyle w:val="TOC3"/>
        <w:rPr>
          <w:noProof/>
        </w:rPr>
      </w:pPr>
      <w:r>
        <w:rPr>
          <w:noProof/>
        </w:rPr>
        <w:t>Ocean acidification in Puget Sound</w:t>
      </w:r>
      <w:r>
        <w:rPr>
          <w:noProof/>
        </w:rPr>
        <w:tab/>
      </w:r>
      <w:r>
        <w:rPr>
          <w:noProof/>
        </w:rPr>
        <w:fldChar w:fldCharType="begin"/>
      </w:r>
      <w:r>
        <w:rPr>
          <w:noProof/>
        </w:rPr>
        <w:instrText xml:space="preserve"> PAGEREF _Toc249155347 \h </w:instrText>
      </w:r>
      <w:r>
        <w:rPr>
          <w:noProof/>
        </w:rPr>
      </w:r>
      <w:r>
        <w:rPr>
          <w:noProof/>
        </w:rPr>
        <w:fldChar w:fldCharType="separate"/>
      </w:r>
      <w:r>
        <w:rPr>
          <w:noProof/>
        </w:rPr>
        <w:t>4</w:t>
      </w:r>
      <w:r>
        <w:rPr>
          <w:noProof/>
        </w:rPr>
        <w:fldChar w:fldCharType="end"/>
      </w:r>
    </w:p>
    <w:p w14:paraId="24B1E99C" w14:textId="77777777" w:rsidR="009454B5" w:rsidRDefault="009454B5">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_Toc249155348 \h </w:instrText>
      </w:r>
      <w:r>
        <w:rPr>
          <w:noProof/>
        </w:rPr>
      </w:r>
      <w:r>
        <w:rPr>
          <w:noProof/>
        </w:rPr>
        <w:fldChar w:fldCharType="separate"/>
      </w:r>
      <w:r>
        <w:rPr>
          <w:noProof/>
        </w:rPr>
        <w:t>4</w:t>
      </w:r>
      <w:r>
        <w:rPr>
          <w:noProof/>
        </w:rPr>
        <w:fldChar w:fldCharType="end"/>
      </w:r>
    </w:p>
    <w:p w14:paraId="585BBA1F" w14:textId="77777777" w:rsidR="009454B5" w:rsidRDefault="009454B5">
      <w:pPr>
        <w:pStyle w:val="TOC1"/>
        <w:tabs>
          <w:tab w:val="right" w:leader="dot" w:pos="8630"/>
        </w:tabs>
        <w:rPr>
          <w:noProof/>
        </w:rPr>
      </w:pPr>
      <w:r>
        <w:rPr>
          <w:noProof/>
        </w:rPr>
        <w:t>Chapter I: Elevated pCO</w:t>
      </w:r>
      <w:r w:rsidRPr="00B51F49">
        <w:rPr>
          <w:noProof/>
          <w:vertAlign w:val="subscript"/>
        </w:rPr>
        <w:t>2</w:t>
      </w:r>
      <w:r>
        <w:rPr>
          <w:noProof/>
        </w:rPr>
        <w:t xml:space="preserve"> causes developmental delay in early larval Pacific oysters, </w:t>
      </w:r>
      <w:r w:rsidRPr="00B51F49">
        <w:rPr>
          <w:i/>
          <w:noProof/>
        </w:rPr>
        <w:t>Crassostrea gigas</w:t>
      </w:r>
      <w:r>
        <w:rPr>
          <w:noProof/>
        </w:rPr>
        <w:tab/>
      </w:r>
      <w:r>
        <w:rPr>
          <w:noProof/>
        </w:rPr>
        <w:fldChar w:fldCharType="begin"/>
      </w:r>
      <w:r>
        <w:rPr>
          <w:noProof/>
        </w:rPr>
        <w:instrText xml:space="preserve"> PAGEREF _Toc249155349 \h </w:instrText>
      </w:r>
      <w:r>
        <w:rPr>
          <w:noProof/>
        </w:rPr>
      </w:r>
      <w:r>
        <w:rPr>
          <w:noProof/>
        </w:rPr>
        <w:fldChar w:fldCharType="separate"/>
      </w:r>
      <w:r>
        <w:rPr>
          <w:noProof/>
        </w:rPr>
        <w:t>4</w:t>
      </w:r>
      <w:r>
        <w:rPr>
          <w:noProof/>
        </w:rPr>
        <w:fldChar w:fldCharType="end"/>
      </w:r>
    </w:p>
    <w:p w14:paraId="520016CB" w14:textId="77777777" w:rsidR="009454B5" w:rsidRDefault="009454B5">
      <w:pPr>
        <w:pStyle w:val="TOC2"/>
        <w:tabs>
          <w:tab w:val="right" w:leader="dot" w:pos="8630"/>
        </w:tabs>
        <w:rPr>
          <w:noProof/>
        </w:rPr>
      </w:pPr>
      <w:r>
        <w:rPr>
          <w:noProof/>
        </w:rPr>
        <w:t>Abstract</w:t>
      </w:r>
      <w:r>
        <w:rPr>
          <w:noProof/>
        </w:rPr>
        <w:tab/>
      </w:r>
      <w:r>
        <w:rPr>
          <w:noProof/>
        </w:rPr>
        <w:fldChar w:fldCharType="begin"/>
      </w:r>
      <w:r>
        <w:rPr>
          <w:noProof/>
        </w:rPr>
        <w:instrText xml:space="preserve"> PAGEREF _Toc249155350 \h </w:instrText>
      </w:r>
      <w:r>
        <w:rPr>
          <w:noProof/>
        </w:rPr>
      </w:r>
      <w:r>
        <w:rPr>
          <w:noProof/>
        </w:rPr>
        <w:fldChar w:fldCharType="separate"/>
      </w:r>
      <w:r>
        <w:rPr>
          <w:noProof/>
        </w:rPr>
        <w:t>4</w:t>
      </w:r>
      <w:r>
        <w:rPr>
          <w:noProof/>
        </w:rPr>
        <w:fldChar w:fldCharType="end"/>
      </w:r>
    </w:p>
    <w:p w14:paraId="68775A49" w14:textId="77777777" w:rsidR="009454B5" w:rsidRDefault="009454B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_Toc249155351 \h </w:instrText>
      </w:r>
      <w:r>
        <w:rPr>
          <w:noProof/>
        </w:rPr>
      </w:r>
      <w:r>
        <w:rPr>
          <w:noProof/>
        </w:rPr>
        <w:fldChar w:fldCharType="separate"/>
      </w:r>
      <w:r>
        <w:rPr>
          <w:noProof/>
        </w:rPr>
        <w:t>5</w:t>
      </w:r>
      <w:r>
        <w:rPr>
          <w:noProof/>
        </w:rPr>
        <w:fldChar w:fldCharType="end"/>
      </w:r>
    </w:p>
    <w:p w14:paraId="45CF9BFA" w14:textId="77777777" w:rsidR="009454B5" w:rsidRDefault="009454B5">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_Toc249155352 \h </w:instrText>
      </w:r>
      <w:r>
        <w:rPr>
          <w:noProof/>
        </w:rPr>
      </w:r>
      <w:r>
        <w:rPr>
          <w:noProof/>
        </w:rPr>
        <w:fldChar w:fldCharType="separate"/>
      </w:r>
      <w:r>
        <w:rPr>
          <w:noProof/>
        </w:rPr>
        <w:t>8</w:t>
      </w:r>
      <w:r>
        <w:rPr>
          <w:noProof/>
        </w:rPr>
        <w:fldChar w:fldCharType="end"/>
      </w:r>
    </w:p>
    <w:p w14:paraId="489FB085" w14:textId="77777777" w:rsidR="009454B5" w:rsidRDefault="009454B5" w:rsidP="009454B5">
      <w:pPr>
        <w:pStyle w:val="TOC3"/>
        <w:rPr>
          <w:noProof/>
        </w:rPr>
      </w:pPr>
      <w:r>
        <w:rPr>
          <w:noProof/>
        </w:rPr>
        <w:t>Seawater chemistry manipulation</w:t>
      </w:r>
      <w:r>
        <w:rPr>
          <w:noProof/>
        </w:rPr>
        <w:tab/>
      </w:r>
      <w:r>
        <w:rPr>
          <w:noProof/>
        </w:rPr>
        <w:fldChar w:fldCharType="begin"/>
      </w:r>
      <w:r>
        <w:rPr>
          <w:noProof/>
        </w:rPr>
        <w:instrText xml:space="preserve"> PAGEREF _Toc249155353 \h </w:instrText>
      </w:r>
      <w:r>
        <w:rPr>
          <w:noProof/>
        </w:rPr>
      </w:r>
      <w:r>
        <w:rPr>
          <w:noProof/>
        </w:rPr>
        <w:fldChar w:fldCharType="separate"/>
      </w:r>
      <w:r>
        <w:rPr>
          <w:noProof/>
        </w:rPr>
        <w:t>8</w:t>
      </w:r>
      <w:r>
        <w:rPr>
          <w:noProof/>
        </w:rPr>
        <w:fldChar w:fldCharType="end"/>
      </w:r>
    </w:p>
    <w:p w14:paraId="3143AAF8" w14:textId="77777777" w:rsidR="009454B5" w:rsidRDefault="009454B5" w:rsidP="009454B5">
      <w:pPr>
        <w:pStyle w:val="TOC3"/>
        <w:rPr>
          <w:noProof/>
        </w:rPr>
      </w:pPr>
      <w:r>
        <w:rPr>
          <w:noProof/>
        </w:rPr>
        <w:t>Oysters</w:t>
      </w:r>
      <w:r>
        <w:rPr>
          <w:noProof/>
        </w:rPr>
        <w:tab/>
      </w:r>
      <w:r>
        <w:rPr>
          <w:noProof/>
        </w:rPr>
        <w:fldChar w:fldCharType="begin"/>
      </w:r>
      <w:r>
        <w:rPr>
          <w:noProof/>
        </w:rPr>
        <w:instrText xml:space="preserve"> PAGEREF _Toc249155354 \h </w:instrText>
      </w:r>
      <w:r>
        <w:rPr>
          <w:noProof/>
        </w:rPr>
      </w:r>
      <w:r>
        <w:rPr>
          <w:noProof/>
        </w:rPr>
        <w:fldChar w:fldCharType="separate"/>
      </w:r>
      <w:r>
        <w:rPr>
          <w:noProof/>
        </w:rPr>
        <w:t>9</w:t>
      </w:r>
      <w:r>
        <w:rPr>
          <w:noProof/>
        </w:rPr>
        <w:fldChar w:fldCharType="end"/>
      </w:r>
    </w:p>
    <w:p w14:paraId="0C02BEF8" w14:textId="77777777" w:rsidR="009454B5" w:rsidRDefault="009454B5" w:rsidP="009454B5">
      <w:pPr>
        <w:pStyle w:val="TOC3"/>
        <w:rPr>
          <w:noProof/>
        </w:rPr>
      </w:pPr>
      <w:r>
        <w:rPr>
          <w:noProof/>
        </w:rPr>
        <w:t>Carbonate chemistry</w:t>
      </w:r>
      <w:r>
        <w:rPr>
          <w:noProof/>
        </w:rPr>
        <w:tab/>
      </w:r>
      <w:r>
        <w:rPr>
          <w:noProof/>
        </w:rPr>
        <w:fldChar w:fldCharType="begin"/>
      </w:r>
      <w:r>
        <w:rPr>
          <w:noProof/>
        </w:rPr>
        <w:instrText xml:space="preserve"> PAGEREF _Toc249155355 \h </w:instrText>
      </w:r>
      <w:r>
        <w:rPr>
          <w:noProof/>
        </w:rPr>
      </w:r>
      <w:r>
        <w:rPr>
          <w:noProof/>
        </w:rPr>
        <w:fldChar w:fldCharType="separate"/>
      </w:r>
      <w:r>
        <w:rPr>
          <w:noProof/>
        </w:rPr>
        <w:t>10</w:t>
      </w:r>
      <w:r>
        <w:rPr>
          <w:noProof/>
        </w:rPr>
        <w:fldChar w:fldCharType="end"/>
      </w:r>
    </w:p>
    <w:p w14:paraId="6064DF86" w14:textId="77777777" w:rsidR="009454B5" w:rsidRDefault="009454B5" w:rsidP="009454B5">
      <w:pPr>
        <w:pStyle w:val="TOC3"/>
        <w:rPr>
          <w:noProof/>
        </w:rPr>
      </w:pPr>
      <w:r>
        <w:rPr>
          <w:noProof/>
        </w:rPr>
        <w:t>Statistics</w:t>
      </w:r>
      <w:r>
        <w:rPr>
          <w:noProof/>
        </w:rPr>
        <w:tab/>
      </w:r>
      <w:r>
        <w:rPr>
          <w:noProof/>
        </w:rPr>
        <w:fldChar w:fldCharType="begin"/>
      </w:r>
      <w:r>
        <w:rPr>
          <w:noProof/>
        </w:rPr>
        <w:instrText xml:space="preserve"> PAGEREF _Toc249155356 \h </w:instrText>
      </w:r>
      <w:r>
        <w:rPr>
          <w:noProof/>
        </w:rPr>
      </w:r>
      <w:r>
        <w:rPr>
          <w:noProof/>
        </w:rPr>
        <w:fldChar w:fldCharType="separate"/>
      </w:r>
      <w:r>
        <w:rPr>
          <w:noProof/>
        </w:rPr>
        <w:t>11</w:t>
      </w:r>
      <w:r>
        <w:rPr>
          <w:noProof/>
        </w:rPr>
        <w:fldChar w:fldCharType="end"/>
      </w:r>
    </w:p>
    <w:p w14:paraId="18DFF0B2" w14:textId="77777777" w:rsidR="009454B5" w:rsidRDefault="009454B5">
      <w:pPr>
        <w:pStyle w:val="TOC2"/>
        <w:tabs>
          <w:tab w:val="right" w:leader="dot" w:pos="8630"/>
        </w:tabs>
        <w:rPr>
          <w:noProof/>
        </w:rPr>
      </w:pPr>
      <w:r>
        <w:rPr>
          <w:noProof/>
        </w:rPr>
        <w:t>Results</w:t>
      </w:r>
      <w:r>
        <w:rPr>
          <w:noProof/>
        </w:rPr>
        <w:tab/>
      </w:r>
      <w:r>
        <w:rPr>
          <w:noProof/>
        </w:rPr>
        <w:fldChar w:fldCharType="begin"/>
      </w:r>
      <w:r>
        <w:rPr>
          <w:noProof/>
        </w:rPr>
        <w:instrText xml:space="preserve"> PAGEREF _Toc249155357 \h </w:instrText>
      </w:r>
      <w:r>
        <w:rPr>
          <w:noProof/>
        </w:rPr>
      </w:r>
      <w:r>
        <w:rPr>
          <w:noProof/>
        </w:rPr>
        <w:fldChar w:fldCharType="separate"/>
      </w:r>
      <w:r>
        <w:rPr>
          <w:noProof/>
        </w:rPr>
        <w:t>11</w:t>
      </w:r>
      <w:r>
        <w:rPr>
          <w:noProof/>
        </w:rPr>
        <w:fldChar w:fldCharType="end"/>
      </w:r>
    </w:p>
    <w:p w14:paraId="6221AE69" w14:textId="77777777" w:rsidR="009454B5" w:rsidRDefault="009454B5" w:rsidP="009454B5">
      <w:pPr>
        <w:pStyle w:val="TOC3"/>
        <w:rPr>
          <w:noProof/>
        </w:rPr>
      </w:pPr>
      <w:r>
        <w:rPr>
          <w:noProof/>
        </w:rPr>
        <w:t>Carbonate chemistry</w:t>
      </w:r>
      <w:r>
        <w:rPr>
          <w:noProof/>
        </w:rPr>
        <w:tab/>
      </w:r>
      <w:r>
        <w:rPr>
          <w:noProof/>
        </w:rPr>
        <w:fldChar w:fldCharType="begin"/>
      </w:r>
      <w:r>
        <w:rPr>
          <w:noProof/>
        </w:rPr>
        <w:instrText xml:space="preserve"> PAGEREF _Toc249155358 \h </w:instrText>
      </w:r>
      <w:r>
        <w:rPr>
          <w:noProof/>
        </w:rPr>
      </w:r>
      <w:r>
        <w:rPr>
          <w:noProof/>
        </w:rPr>
        <w:fldChar w:fldCharType="separate"/>
      </w:r>
      <w:r>
        <w:rPr>
          <w:noProof/>
        </w:rPr>
        <w:t>11</w:t>
      </w:r>
      <w:r>
        <w:rPr>
          <w:noProof/>
        </w:rPr>
        <w:fldChar w:fldCharType="end"/>
      </w:r>
    </w:p>
    <w:p w14:paraId="412CD281" w14:textId="77777777" w:rsidR="009454B5" w:rsidRDefault="009454B5" w:rsidP="009454B5">
      <w:pPr>
        <w:pStyle w:val="TOC3"/>
        <w:rPr>
          <w:noProof/>
        </w:rPr>
      </w:pPr>
      <w:r>
        <w:rPr>
          <w:noProof/>
        </w:rPr>
        <w:t>Size, development, and calcification</w:t>
      </w:r>
      <w:r>
        <w:rPr>
          <w:noProof/>
        </w:rPr>
        <w:tab/>
      </w:r>
      <w:r>
        <w:rPr>
          <w:noProof/>
        </w:rPr>
        <w:fldChar w:fldCharType="begin"/>
      </w:r>
      <w:r>
        <w:rPr>
          <w:noProof/>
        </w:rPr>
        <w:instrText xml:space="preserve"> PAGEREF _Toc249155359 \h </w:instrText>
      </w:r>
      <w:r>
        <w:rPr>
          <w:noProof/>
        </w:rPr>
      </w:r>
      <w:r>
        <w:rPr>
          <w:noProof/>
        </w:rPr>
        <w:fldChar w:fldCharType="separate"/>
      </w:r>
      <w:r>
        <w:rPr>
          <w:noProof/>
        </w:rPr>
        <w:t>12</w:t>
      </w:r>
      <w:r>
        <w:rPr>
          <w:noProof/>
        </w:rPr>
        <w:fldChar w:fldCharType="end"/>
      </w:r>
    </w:p>
    <w:p w14:paraId="6F9468F7" w14:textId="77777777" w:rsidR="009454B5" w:rsidRDefault="009454B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_Toc249155360 \h </w:instrText>
      </w:r>
      <w:r>
        <w:rPr>
          <w:noProof/>
        </w:rPr>
      </w:r>
      <w:r>
        <w:rPr>
          <w:noProof/>
        </w:rPr>
        <w:fldChar w:fldCharType="separate"/>
      </w:r>
      <w:r>
        <w:rPr>
          <w:noProof/>
        </w:rPr>
        <w:t>16</w:t>
      </w:r>
      <w:r>
        <w:rPr>
          <w:noProof/>
        </w:rPr>
        <w:fldChar w:fldCharType="end"/>
      </w:r>
    </w:p>
    <w:p w14:paraId="2B8BBE39" w14:textId="77777777" w:rsidR="009454B5" w:rsidRDefault="009454B5">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_Toc249155361 \h </w:instrText>
      </w:r>
      <w:r>
        <w:rPr>
          <w:noProof/>
        </w:rPr>
      </w:r>
      <w:r>
        <w:rPr>
          <w:noProof/>
        </w:rPr>
        <w:fldChar w:fldCharType="separate"/>
      </w:r>
      <w:r>
        <w:rPr>
          <w:noProof/>
        </w:rPr>
        <w:t>20</w:t>
      </w:r>
      <w:r>
        <w:rPr>
          <w:noProof/>
        </w:rPr>
        <w:fldChar w:fldCharType="end"/>
      </w:r>
    </w:p>
    <w:p w14:paraId="2B0D592A" w14:textId="77777777" w:rsidR="009454B5" w:rsidRDefault="009454B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_Toc249155362 \h </w:instrText>
      </w:r>
      <w:r>
        <w:rPr>
          <w:noProof/>
        </w:rPr>
      </w:r>
      <w:r>
        <w:rPr>
          <w:noProof/>
        </w:rPr>
        <w:fldChar w:fldCharType="separate"/>
      </w:r>
      <w:r>
        <w:rPr>
          <w:noProof/>
        </w:rPr>
        <w:t>20</w:t>
      </w:r>
      <w:r>
        <w:rPr>
          <w:noProof/>
        </w:rPr>
        <w:fldChar w:fldCharType="end"/>
      </w:r>
    </w:p>
    <w:p w14:paraId="3A226C89" w14:textId="77777777" w:rsidR="009454B5" w:rsidRDefault="009454B5">
      <w:pPr>
        <w:pStyle w:val="TOC2"/>
        <w:tabs>
          <w:tab w:val="right" w:leader="dot" w:pos="8630"/>
        </w:tabs>
        <w:rPr>
          <w:noProof/>
        </w:rPr>
      </w:pPr>
      <w:r>
        <w:rPr>
          <w:noProof/>
        </w:rPr>
        <w:t>References</w:t>
      </w:r>
      <w:r>
        <w:rPr>
          <w:noProof/>
        </w:rPr>
        <w:tab/>
      </w:r>
      <w:r>
        <w:rPr>
          <w:noProof/>
        </w:rPr>
        <w:fldChar w:fldCharType="begin"/>
      </w:r>
      <w:r>
        <w:rPr>
          <w:noProof/>
        </w:rPr>
        <w:instrText xml:space="preserve"> PAGEREF _Toc249155363 \h </w:instrText>
      </w:r>
      <w:r>
        <w:rPr>
          <w:noProof/>
        </w:rPr>
      </w:r>
      <w:r>
        <w:rPr>
          <w:noProof/>
        </w:rPr>
        <w:fldChar w:fldCharType="separate"/>
      </w:r>
      <w:r>
        <w:rPr>
          <w:noProof/>
        </w:rPr>
        <w:t>21</w:t>
      </w:r>
      <w:r>
        <w:rPr>
          <w:noProof/>
        </w:rPr>
        <w:fldChar w:fldCharType="end"/>
      </w:r>
    </w:p>
    <w:p w14:paraId="55AA9A29" w14:textId="77777777" w:rsidR="009454B5" w:rsidRDefault="009454B5">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_Toc249155364 \h </w:instrText>
      </w:r>
      <w:r>
        <w:rPr>
          <w:noProof/>
        </w:rPr>
      </w:r>
      <w:r>
        <w:rPr>
          <w:noProof/>
        </w:rPr>
        <w:fldChar w:fldCharType="separate"/>
      </w:r>
      <w:r>
        <w:rPr>
          <w:noProof/>
        </w:rPr>
        <w:t>24</w:t>
      </w:r>
      <w:r>
        <w:rPr>
          <w:noProof/>
        </w:rPr>
        <w:fldChar w:fldCharType="end"/>
      </w:r>
    </w:p>
    <w:p w14:paraId="0CE9014C" w14:textId="77777777" w:rsidR="009454B5" w:rsidRDefault="009454B5">
      <w:pPr>
        <w:pStyle w:val="TOC2"/>
        <w:tabs>
          <w:tab w:val="right" w:leader="dot" w:pos="8630"/>
        </w:tabs>
        <w:rPr>
          <w:noProof/>
        </w:rPr>
      </w:pPr>
      <w:r>
        <w:rPr>
          <w:noProof/>
        </w:rPr>
        <w:t>Abstract</w:t>
      </w:r>
      <w:r>
        <w:rPr>
          <w:noProof/>
        </w:rPr>
        <w:tab/>
      </w:r>
      <w:r>
        <w:rPr>
          <w:noProof/>
        </w:rPr>
        <w:fldChar w:fldCharType="begin"/>
      </w:r>
      <w:r>
        <w:rPr>
          <w:noProof/>
        </w:rPr>
        <w:instrText xml:space="preserve"> PAGEREF _Toc249155365 \h </w:instrText>
      </w:r>
      <w:r>
        <w:rPr>
          <w:noProof/>
        </w:rPr>
      </w:r>
      <w:r>
        <w:rPr>
          <w:noProof/>
        </w:rPr>
        <w:fldChar w:fldCharType="separate"/>
      </w:r>
      <w:r>
        <w:rPr>
          <w:noProof/>
        </w:rPr>
        <w:t>24</w:t>
      </w:r>
      <w:r>
        <w:rPr>
          <w:noProof/>
        </w:rPr>
        <w:fldChar w:fldCharType="end"/>
      </w:r>
    </w:p>
    <w:p w14:paraId="61E37163" w14:textId="77777777" w:rsidR="009454B5" w:rsidRDefault="009454B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_Toc249155366 \h </w:instrText>
      </w:r>
      <w:r>
        <w:rPr>
          <w:noProof/>
        </w:rPr>
      </w:r>
      <w:r>
        <w:rPr>
          <w:noProof/>
        </w:rPr>
        <w:fldChar w:fldCharType="separate"/>
      </w:r>
      <w:r>
        <w:rPr>
          <w:noProof/>
        </w:rPr>
        <w:t>25</w:t>
      </w:r>
      <w:r>
        <w:rPr>
          <w:noProof/>
        </w:rPr>
        <w:fldChar w:fldCharType="end"/>
      </w:r>
    </w:p>
    <w:p w14:paraId="6D81C651" w14:textId="77777777" w:rsidR="009454B5" w:rsidRDefault="009454B5">
      <w:pPr>
        <w:pStyle w:val="TOC2"/>
        <w:tabs>
          <w:tab w:val="right" w:leader="dot" w:pos="8630"/>
        </w:tabs>
        <w:rPr>
          <w:noProof/>
        </w:rPr>
      </w:pPr>
      <w:r>
        <w:rPr>
          <w:noProof/>
        </w:rPr>
        <w:t>Methods</w:t>
      </w:r>
      <w:r>
        <w:rPr>
          <w:noProof/>
        </w:rPr>
        <w:tab/>
      </w:r>
      <w:r>
        <w:rPr>
          <w:noProof/>
        </w:rPr>
        <w:fldChar w:fldCharType="begin"/>
      </w:r>
      <w:r>
        <w:rPr>
          <w:noProof/>
        </w:rPr>
        <w:instrText xml:space="preserve"> PAGEREF _Toc249155367 \h </w:instrText>
      </w:r>
      <w:r>
        <w:rPr>
          <w:noProof/>
        </w:rPr>
      </w:r>
      <w:r>
        <w:rPr>
          <w:noProof/>
        </w:rPr>
        <w:fldChar w:fldCharType="separate"/>
      </w:r>
      <w:r>
        <w:rPr>
          <w:noProof/>
        </w:rPr>
        <w:t>28</w:t>
      </w:r>
      <w:r>
        <w:rPr>
          <w:noProof/>
        </w:rPr>
        <w:fldChar w:fldCharType="end"/>
      </w:r>
    </w:p>
    <w:p w14:paraId="26A20C16" w14:textId="77777777" w:rsidR="009454B5" w:rsidRDefault="009454B5" w:rsidP="009454B5">
      <w:pPr>
        <w:pStyle w:val="TOC3"/>
        <w:rPr>
          <w:noProof/>
        </w:rPr>
      </w:pPr>
      <w:r>
        <w:rPr>
          <w:noProof/>
        </w:rPr>
        <w:t>Oysters</w:t>
      </w:r>
      <w:r>
        <w:rPr>
          <w:noProof/>
        </w:rPr>
        <w:tab/>
      </w:r>
      <w:r>
        <w:rPr>
          <w:noProof/>
        </w:rPr>
        <w:fldChar w:fldCharType="begin"/>
      </w:r>
      <w:r>
        <w:rPr>
          <w:noProof/>
        </w:rPr>
        <w:instrText xml:space="preserve"> PAGEREF _Toc249155368 \h </w:instrText>
      </w:r>
      <w:r>
        <w:rPr>
          <w:noProof/>
        </w:rPr>
      </w:r>
      <w:r>
        <w:rPr>
          <w:noProof/>
        </w:rPr>
        <w:fldChar w:fldCharType="separate"/>
      </w:r>
      <w:r>
        <w:rPr>
          <w:noProof/>
        </w:rPr>
        <w:t>28</w:t>
      </w:r>
      <w:r>
        <w:rPr>
          <w:noProof/>
        </w:rPr>
        <w:fldChar w:fldCharType="end"/>
      </w:r>
    </w:p>
    <w:p w14:paraId="31B668CE" w14:textId="77777777" w:rsidR="009454B5" w:rsidRDefault="009454B5" w:rsidP="009454B5">
      <w:pPr>
        <w:pStyle w:val="TOC3"/>
        <w:rPr>
          <w:noProof/>
        </w:rPr>
      </w:pPr>
      <w:r>
        <w:rPr>
          <w:noProof/>
        </w:rPr>
        <w:t>Protein digestion and desalting</w:t>
      </w:r>
      <w:r>
        <w:rPr>
          <w:noProof/>
        </w:rPr>
        <w:tab/>
      </w:r>
      <w:r>
        <w:rPr>
          <w:noProof/>
        </w:rPr>
        <w:fldChar w:fldCharType="begin"/>
      </w:r>
      <w:r>
        <w:rPr>
          <w:noProof/>
        </w:rPr>
        <w:instrText xml:space="preserve"> PAGEREF _Toc249155369 \h </w:instrText>
      </w:r>
      <w:r>
        <w:rPr>
          <w:noProof/>
        </w:rPr>
      </w:r>
      <w:r>
        <w:rPr>
          <w:noProof/>
        </w:rPr>
        <w:fldChar w:fldCharType="separate"/>
      </w:r>
      <w:r>
        <w:rPr>
          <w:noProof/>
        </w:rPr>
        <w:t>28</w:t>
      </w:r>
      <w:r>
        <w:rPr>
          <w:noProof/>
        </w:rPr>
        <w:fldChar w:fldCharType="end"/>
      </w:r>
    </w:p>
    <w:p w14:paraId="3DDF853F" w14:textId="77777777" w:rsidR="009454B5" w:rsidRDefault="009454B5" w:rsidP="009454B5">
      <w:pPr>
        <w:pStyle w:val="TOC3"/>
        <w:rPr>
          <w:noProof/>
        </w:rPr>
      </w:pPr>
      <w:r>
        <w:rPr>
          <w:noProof/>
        </w:rPr>
        <w:t>Liquid chromatography and tandem mass spectrometry</w:t>
      </w:r>
      <w:r>
        <w:rPr>
          <w:noProof/>
        </w:rPr>
        <w:tab/>
      </w:r>
      <w:r>
        <w:rPr>
          <w:noProof/>
        </w:rPr>
        <w:fldChar w:fldCharType="begin"/>
      </w:r>
      <w:r>
        <w:rPr>
          <w:noProof/>
        </w:rPr>
        <w:instrText xml:space="preserve"> PAGEREF _Toc249155370 \h </w:instrText>
      </w:r>
      <w:r>
        <w:rPr>
          <w:noProof/>
        </w:rPr>
      </w:r>
      <w:r>
        <w:rPr>
          <w:noProof/>
        </w:rPr>
        <w:fldChar w:fldCharType="separate"/>
      </w:r>
      <w:r>
        <w:rPr>
          <w:noProof/>
        </w:rPr>
        <w:t>29</w:t>
      </w:r>
      <w:r>
        <w:rPr>
          <w:noProof/>
        </w:rPr>
        <w:fldChar w:fldCharType="end"/>
      </w:r>
    </w:p>
    <w:p w14:paraId="430796A1" w14:textId="77777777" w:rsidR="009454B5" w:rsidRDefault="009454B5" w:rsidP="009454B5">
      <w:pPr>
        <w:pStyle w:val="TOC3"/>
        <w:rPr>
          <w:noProof/>
        </w:rPr>
      </w:pPr>
      <w:r>
        <w:rPr>
          <w:noProof/>
        </w:rPr>
        <w:t>Data acquisition</w:t>
      </w:r>
      <w:r>
        <w:rPr>
          <w:noProof/>
        </w:rPr>
        <w:tab/>
      </w:r>
      <w:r>
        <w:rPr>
          <w:noProof/>
        </w:rPr>
        <w:fldChar w:fldCharType="begin"/>
      </w:r>
      <w:r>
        <w:rPr>
          <w:noProof/>
        </w:rPr>
        <w:instrText xml:space="preserve"> PAGEREF _Toc249155371 \h </w:instrText>
      </w:r>
      <w:r>
        <w:rPr>
          <w:noProof/>
        </w:rPr>
      </w:r>
      <w:r>
        <w:rPr>
          <w:noProof/>
        </w:rPr>
        <w:fldChar w:fldCharType="separate"/>
      </w:r>
      <w:r>
        <w:rPr>
          <w:noProof/>
        </w:rPr>
        <w:t>29</w:t>
      </w:r>
      <w:r>
        <w:rPr>
          <w:noProof/>
        </w:rPr>
        <w:fldChar w:fldCharType="end"/>
      </w:r>
    </w:p>
    <w:p w14:paraId="152A890A" w14:textId="77777777" w:rsidR="009454B5" w:rsidRDefault="009454B5" w:rsidP="009454B5">
      <w:pPr>
        <w:pStyle w:val="TOC3"/>
        <w:rPr>
          <w:noProof/>
        </w:rPr>
      </w:pPr>
      <w:r>
        <w:rPr>
          <w:noProof/>
        </w:rPr>
        <w:t>Protein identification and data analysis</w:t>
      </w:r>
      <w:r>
        <w:rPr>
          <w:noProof/>
        </w:rPr>
        <w:tab/>
      </w:r>
      <w:r>
        <w:rPr>
          <w:noProof/>
        </w:rPr>
        <w:fldChar w:fldCharType="begin"/>
      </w:r>
      <w:r>
        <w:rPr>
          <w:noProof/>
        </w:rPr>
        <w:instrText xml:space="preserve"> PAGEREF _Toc249155372 \h </w:instrText>
      </w:r>
      <w:r>
        <w:rPr>
          <w:noProof/>
        </w:rPr>
      </w:r>
      <w:r>
        <w:rPr>
          <w:noProof/>
        </w:rPr>
        <w:fldChar w:fldCharType="separate"/>
      </w:r>
      <w:r>
        <w:rPr>
          <w:noProof/>
        </w:rPr>
        <w:t>30</w:t>
      </w:r>
      <w:r>
        <w:rPr>
          <w:noProof/>
        </w:rPr>
        <w:fldChar w:fldCharType="end"/>
      </w:r>
    </w:p>
    <w:p w14:paraId="1BD8035A" w14:textId="77777777" w:rsidR="009454B5" w:rsidRDefault="009454B5">
      <w:pPr>
        <w:pStyle w:val="TOC2"/>
        <w:tabs>
          <w:tab w:val="right" w:leader="dot" w:pos="8630"/>
        </w:tabs>
        <w:rPr>
          <w:noProof/>
        </w:rPr>
      </w:pPr>
      <w:r>
        <w:rPr>
          <w:noProof/>
        </w:rPr>
        <w:t>Results</w:t>
      </w:r>
      <w:r>
        <w:rPr>
          <w:noProof/>
        </w:rPr>
        <w:tab/>
      </w:r>
      <w:r>
        <w:rPr>
          <w:noProof/>
        </w:rPr>
        <w:fldChar w:fldCharType="begin"/>
      </w:r>
      <w:r>
        <w:rPr>
          <w:noProof/>
        </w:rPr>
        <w:instrText xml:space="preserve"> PAGEREF _Toc249155373 \h </w:instrText>
      </w:r>
      <w:r>
        <w:rPr>
          <w:noProof/>
        </w:rPr>
      </w:r>
      <w:r>
        <w:rPr>
          <w:noProof/>
        </w:rPr>
        <w:fldChar w:fldCharType="separate"/>
      </w:r>
      <w:r>
        <w:rPr>
          <w:noProof/>
        </w:rPr>
        <w:t>31</w:t>
      </w:r>
      <w:r>
        <w:rPr>
          <w:noProof/>
        </w:rPr>
        <w:fldChar w:fldCharType="end"/>
      </w:r>
    </w:p>
    <w:p w14:paraId="49054872" w14:textId="77777777" w:rsidR="009454B5" w:rsidRDefault="009454B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_Toc249155374 \h </w:instrText>
      </w:r>
      <w:r>
        <w:rPr>
          <w:noProof/>
        </w:rPr>
      </w:r>
      <w:r>
        <w:rPr>
          <w:noProof/>
        </w:rPr>
        <w:fldChar w:fldCharType="separate"/>
      </w:r>
      <w:r>
        <w:rPr>
          <w:noProof/>
        </w:rPr>
        <w:t>36</w:t>
      </w:r>
      <w:r>
        <w:rPr>
          <w:noProof/>
        </w:rPr>
        <w:fldChar w:fldCharType="end"/>
      </w:r>
    </w:p>
    <w:p w14:paraId="6AB91275" w14:textId="77777777" w:rsidR="009454B5" w:rsidRDefault="009454B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_Toc249155375 \h </w:instrText>
      </w:r>
      <w:r>
        <w:rPr>
          <w:noProof/>
        </w:rPr>
      </w:r>
      <w:r>
        <w:rPr>
          <w:noProof/>
        </w:rPr>
        <w:fldChar w:fldCharType="separate"/>
      </w:r>
      <w:r>
        <w:rPr>
          <w:noProof/>
        </w:rPr>
        <w:t>39</w:t>
      </w:r>
      <w:r>
        <w:rPr>
          <w:noProof/>
        </w:rPr>
        <w:fldChar w:fldCharType="end"/>
      </w:r>
    </w:p>
    <w:p w14:paraId="5905F290" w14:textId="77777777" w:rsidR="009454B5" w:rsidRDefault="009454B5">
      <w:pPr>
        <w:pStyle w:val="TOC2"/>
        <w:tabs>
          <w:tab w:val="right" w:leader="dot" w:pos="8630"/>
        </w:tabs>
        <w:rPr>
          <w:noProof/>
        </w:rPr>
      </w:pPr>
      <w:r>
        <w:rPr>
          <w:noProof/>
        </w:rPr>
        <w:t>References</w:t>
      </w:r>
      <w:r>
        <w:rPr>
          <w:noProof/>
        </w:rPr>
        <w:tab/>
      </w:r>
      <w:r>
        <w:rPr>
          <w:noProof/>
        </w:rPr>
        <w:fldChar w:fldCharType="begin"/>
      </w:r>
      <w:r>
        <w:rPr>
          <w:noProof/>
        </w:rPr>
        <w:instrText xml:space="preserve"> PAGEREF _Toc249155376 \h </w:instrText>
      </w:r>
      <w:r>
        <w:rPr>
          <w:noProof/>
        </w:rPr>
      </w:r>
      <w:r>
        <w:rPr>
          <w:noProof/>
        </w:rPr>
        <w:fldChar w:fldCharType="separate"/>
      </w:r>
      <w:r>
        <w:rPr>
          <w:noProof/>
        </w:rPr>
        <w:t>39</w:t>
      </w:r>
      <w:r>
        <w:rPr>
          <w:noProof/>
        </w:rPr>
        <w:fldChar w:fldCharType="end"/>
      </w:r>
    </w:p>
    <w:p w14:paraId="543752E8" w14:textId="77777777" w:rsidR="009454B5" w:rsidRDefault="009454B5">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_Toc249155377 \h </w:instrText>
      </w:r>
      <w:r>
        <w:rPr>
          <w:noProof/>
        </w:rPr>
      </w:r>
      <w:r>
        <w:rPr>
          <w:noProof/>
        </w:rPr>
        <w:fldChar w:fldCharType="separate"/>
      </w:r>
      <w:r>
        <w:rPr>
          <w:noProof/>
        </w:rPr>
        <w:t>42</w:t>
      </w:r>
      <w:r>
        <w:rPr>
          <w:noProof/>
        </w:rPr>
        <w:fldChar w:fldCharType="end"/>
      </w:r>
    </w:p>
    <w:p w14:paraId="69746AE4" w14:textId="77777777" w:rsidR="009454B5" w:rsidRDefault="009454B5">
      <w:pPr>
        <w:pStyle w:val="TOC2"/>
        <w:tabs>
          <w:tab w:val="right" w:leader="dot" w:pos="8630"/>
        </w:tabs>
        <w:rPr>
          <w:noProof/>
        </w:rPr>
      </w:pPr>
      <w:r>
        <w:rPr>
          <w:noProof/>
        </w:rPr>
        <w:t>Abstract</w:t>
      </w:r>
      <w:r>
        <w:rPr>
          <w:noProof/>
        </w:rPr>
        <w:tab/>
      </w:r>
      <w:r>
        <w:rPr>
          <w:noProof/>
        </w:rPr>
        <w:fldChar w:fldCharType="begin"/>
      </w:r>
      <w:r>
        <w:rPr>
          <w:noProof/>
        </w:rPr>
        <w:instrText xml:space="preserve"> PAGEREF _Toc249155378 \h </w:instrText>
      </w:r>
      <w:r>
        <w:rPr>
          <w:noProof/>
        </w:rPr>
      </w:r>
      <w:r>
        <w:rPr>
          <w:noProof/>
        </w:rPr>
        <w:fldChar w:fldCharType="separate"/>
      </w:r>
      <w:r>
        <w:rPr>
          <w:noProof/>
        </w:rPr>
        <w:t>43</w:t>
      </w:r>
      <w:r>
        <w:rPr>
          <w:noProof/>
        </w:rPr>
        <w:fldChar w:fldCharType="end"/>
      </w:r>
    </w:p>
    <w:p w14:paraId="32359A26" w14:textId="77777777" w:rsidR="009454B5" w:rsidRDefault="009454B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_Toc249155379 \h </w:instrText>
      </w:r>
      <w:r>
        <w:rPr>
          <w:noProof/>
        </w:rPr>
      </w:r>
      <w:r>
        <w:rPr>
          <w:noProof/>
        </w:rPr>
        <w:fldChar w:fldCharType="separate"/>
      </w:r>
      <w:r>
        <w:rPr>
          <w:noProof/>
        </w:rPr>
        <w:t>43</w:t>
      </w:r>
      <w:r>
        <w:rPr>
          <w:noProof/>
        </w:rPr>
        <w:fldChar w:fldCharType="end"/>
      </w:r>
    </w:p>
    <w:p w14:paraId="4D677E2B" w14:textId="77777777" w:rsidR="009454B5" w:rsidRDefault="009454B5">
      <w:pPr>
        <w:pStyle w:val="TOC2"/>
        <w:tabs>
          <w:tab w:val="right" w:leader="dot" w:pos="8630"/>
        </w:tabs>
        <w:rPr>
          <w:noProof/>
        </w:rPr>
      </w:pPr>
      <w:r>
        <w:rPr>
          <w:noProof/>
        </w:rPr>
        <w:t>Methods</w:t>
      </w:r>
      <w:r>
        <w:rPr>
          <w:noProof/>
        </w:rPr>
        <w:tab/>
      </w:r>
      <w:r>
        <w:rPr>
          <w:noProof/>
        </w:rPr>
        <w:fldChar w:fldCharType="begin"/>
      </w:r>
      <w:r>
        <w:rPr>
          <w:noProof/>
        </w:rPr>
        <w:instrText xml:space="preserve"> PAGEREF _Toc249155380 \h </w:instrText>
      </w:r>
      <w:r>
        <w:rPr>
          <w:noProof/>
        </w:rPr>
      </w:r>
      <w:r>
        <w:rPr>
          <w:noProof/>
        </w:rPr>
        <w:fldChar w:fldCharType="separate"/>
      </w:r>
      <w:r>
        <w:rPr>
          <w:noProof/>
        </w:rPr>
        <w:t>45</w:t>
      </w:r>
      <w:r>
        <w:rPr>
          <w:noProof/>
        </w:rPr>
        <w:fldChar w:fldCharType="end"/>
      </w:r>
    </w:p>
    <w:p w14:paraId="166013B6" w14:textId="77777777" w:rsidR="009454B5" w:rsidRDefault="009454B5" w:rsidP="009454B5">
      <w:pPr>
        <w:pStyle w:val="TOC3"/>
        <w:rPr>
          <w:noProof/>
        </w:rPr>
      </w:pPr>
      <w:r>
        <w:rPr>
          <w:noProof/>
        </w:rPr>
        <w:t>Ocean acidification system</w:t>
      </w:r>
      <w:r>
        <w:rPr>
          <w:noProof/>
        </w:rPr>
        <w:tab/>
      </w:r>
      <w:r>
        <w:rPr>
          <w:noProof/>
        </w:rPr>
        <w:fldChar w:fldCharType="begin"/>
      </w:r>
      <w:r>
        <w:rPr>
          <w:noProof/>
        </w:rPr>
        <w:instrText xml:space="preserve"> PAGEREF _Toc249155381 \h </w:instrText>
      </w:r>
      <w:r>
        <w:rPr>
          <w:noProof/>
        </w:rPr>
      </w:r>
      <w:r>
        <w:rPr>
          <w:noProof/>
        </w:rPr>
        <w:fldChar w:fldCharType="separate"/>
      </w:r>
      <w:r>
        <w:rPr>
          <w:noProof/>
        </w:rPr>
        <w:t>45</w:t>
      </w:r>
      <w:r>
        <w:rPr>
          <w:noProof/>
        </w:rPr>
        <w:fldChar w:fldCharType="end"/>
      </w:r>
    </w:p>
    <w:p w14:paraId="7EE0E9A8" w14:textId="77777777" w:rsidR="009454B5" w:rsidRDefault="009454B5" w:rsidP="009454B5">
      <w:pPr>
        <w:pStyle w:val="TOC3"/>
        <w:rPr>
          <w:noProof/>
        </w:rPr>
      </w:pPr>
      <w:r>
        <w:rPr>
          <w:noProof/>
        </w:rPr>
        <w:t>Experimental design</w:t>
      </w:r>
      <w:r>
        <w:rPr>
          <w:noProof/>
        </w:rPr>
        <w:tab/>
      </w:r>
      <w:r>
        <w:rPr>
          <w:noProof/>
        </w:rPr>
        <w:fldChar w:fldCharType="begin"/>
      </w:r>
      <w:r>
        <w:rPr>
          <w:noProof/>
        </w:rPr>
        <w:instrText xml:space="preserve"> PAGEREF _Toc249155382 \h </w:instrText>
      </w:r>
      <w:r>
        <w:rPr>
          <w:noProof/>
        </w:rPr>
      </w:r>
      <w:r>
        <w:rPr>
          <w:noProof/>
        </w:rPr>
        <w:fldChar w:fldCharType="separate"/>
      </w:r>
      <w:r>
        <w:rPr>
          <w:noProof/>
        </w:rPr>
        <w:t>46</w:t>
      </w:r>
      <w:r>
        <w:rPr>
          <w:noProof/>
        </w:rPr>
        <w:fldChar w:fldCharType="end"/>
      </w:r>
    </w:p>
    <w:p w14:paraId="1570C93F" w14:textId="77777777" w:rsidR="009454B5" w:rsidRDefault="009454B5" w:rsidP="009454B5">
      <w:pPr>
        <w:pStyle w:val="TOC3"/>
        <w:rPr>
          <w:noProof/>
        </w:rPr>
      </w:pPr>
      <w:r>
        <w:rPr>
          <w:noProof/>
        </w:rPr>
        <w:t>Shell micromechanical properties</w:t>
      </w:r>
      <w:r>
        <w:rPr>
          <w:noProof/>
        </w:rPr>
        <w:tab/>
      </w:r>
      <w:r>
        <w:rPr>
          <w:noProof/>
        </w:rPr>
        <w:fldChar w:fldCharType="begin"/>
      </w:r>
      <w:r>
        <w:rPr>
          <w:noProof/>
        </w:rPr>
        <w:instrText xml:space="preserve"> PAGEREF _Toc249155383 \h </w:instrText>
      </w:r>
      <w:r>
        <w:rPr>
          <w:noProof/>
        </w:rPr>
      </w:r>
      <w:r>
        <w:rPr>
          <w:noProof/>
        </w:rPr>
        <w:fldChar w:fldCharType="separate"/>
      </w:r>
      <w:r>
        <w:rPr>
          <w:noProof/>
        </w:rPr>
        <w:t>47</w:t>
      </w:r>
      <w:r>
        <w:rPr>
          <w:noProof/>
        </w:rPr>
        <w:fldChar w:fldCharType="end"/>
      </w:r>
    </w:p>
    <w:p w14:paraId="4C6526F9" w14:textId="6A7549EC" w:rsidR="009454B5" w:rsidRDefault="009454B5" w:rsidP="009454B5">
      <w:pPr>
        <w:pStyle w:val="TOC3"/>
        <w:rPr>
          <w:noProof/>
        </w:rPr>
      </w:pPr>
      <w:r>
        <w:rPr>
          <w:noProof/>
        </w:rPr>
        <w:t>Fatty acid analysis</w:t>
      </w:r>
      <w:r>
        <w:rPr>
          <w:noProof/>
        </w:rPr>
        <w:tab/>
      </w:r>
      <w:r>
        <w:rPr>
          <w:noProof/>
        </w:rPr>
        <w:fldChar w:fldCharType="begin"/>
      </w:r>
      <w:r>
        <w:rPr>
          <w:noProof/>
        </w:rPr>
        <w:instrText xml:space="preserve"> PAGEREF _Toc249155384 \h </w:instrText>
      </w:r>
      <w:r>
        <w:rPr>
          <w:noProof/>
        </w:rPr>
      </w:r>
      <w:r>
        <w:rPr>
          <w:noProof/>
        </w:rPr>
        <w:fldChar w:fldCharType="separate"/>
      </w:r>
      <w:r>
        <w:rPr>
          <w:noProof/>
        </w:rPr>
        <w:t>49</w:t>
      </w:r>
      <w:r>
        <w:rPr>
          <w:noProof/>
        </w:rPr>
        <w:fldChar w:fldCharType="end"/>
      </w:r>
    </w:p>
    <w:p w14:paraId="5F950854" w14:textId="77777777" w:rsidR="009454B5" w:rsidRDefault="009454B5" w:rsidP="009454B5">
      <w:pPr>
        <w:pStyle w:val="TOC3"/>
        <w:rPr>
          <w:noProof/>
        </w:rPr>
      </w:pPr>
      <w:r>
        <w:rPr>
          <w:noProof/>
        </w:rPr>
        <w:t>Heat shock</w:t>
      </w:r>
      <w:r>
        <w:rPr>
          <w:noProof/>
        </w:rPr>
        <w:tab/>
      </w:r>
      <w:r>
        <w:rPr>
          <w:noProof/>
        </w:rPr>
        <w:fldChar w:fldCharType="begin"/>
      </w:r>
      <w:r>
        <w:rPr>
          <w:noProof/>
        </w:rPr>
        <w:instrText xml:space="preserve"> PAGEREF _Toc249155386 \h </w:instrText>
      </w:r>
      <w:r>
        <w:rPr>
          <w:noProof/>
        </w:rPr>
      </w:r>
      <w:r>
        <w:rPr>
          <w:noProof/>
        </w:rPr>
        <w:fldChar w:fldCharType="separate"/>
      </w:r>
      <w:r>
        <w:rPr>
          <w:noProof/>
        </w:rPr>
        <w:t>49</w:t>
      </w:r>
      <w:r>
        <w:rPr>
          <w:noProof/>
        </w:rPr>
        <w:fldChar w:fldCharType="end"/>
      </w:r>
    </w:p>
    <w:p w14:paraId="736D719A" w14:textId="77777777" w:rsidR="009454B5" w:rsidRDefault="009454B5" w:rsidP="009454B5">
      <w:pPr>
        <w:pStyle w:val="TOC3"/>
        <w:rPr>
          <w:noProof/>
        </w:rPr>
      </w:pPr>
      <w:r>
        <w:rPr>
          <w:noProof/>
        </w:rPr>
        <w:t>Liquid chromatography and tandem mass spectrometry (LC-MS/MS)</w:t>
      </w:r>
      <w:r>
        <w:rPr>
          <w:noProof/>
        </w:rPr>
        <w:tab/>
      </w:r>
      <w:r>
        <w:rPr>
          <w:noProof/>
        </w:rPr>
        <w:fldChar w:fldCharType="begin"/>
      </w:r>
      <w:r>
        <w:rPr>
          <w:noProof/>
        </w:rPr>
        <w:instrText xml:space="preserve"> PAGEREF _Toc249155387 \h </w:instrText>
      </w:r>
      <w:r>
        <w:rPr>
          <w:noProof/>
        </w:rPr>
      </w:r>
      <w:r>
        <w:rPr>
          <w:noProof/>
        </w:rPr>
        <w:fldChar w:fldCharType="separate"/>
      </w:r>
      <w:r>
        <w:rPr>
          <w:noProof/>
        </w:rPr>
        <w:t>50</w:t>
      </w:r>
      <w:r>
        <w:rPr>
          <w:noProof/>
        </w:rPr>
        <w:fldChar w:fldCharType="end"/>
      </w:r>
    </w:p>
    <w:p w14:paraId="48AC2126" w14:textId="77777777" w:rsidR="009454B5" w:rsidRDefault="009454B5" w:rsidP="009454B5">
      <w:pPr>
        <w:pStyle w:val="TOC3"/>
        <w:rPr>
          <w:noProof/>
        </w:rPr>
      </w:pPr>
      <w:r>
        <w:rPr>
          <w:noProof/>
        </w:rPr>
        <w:t>Protein informatics analysis</w:t>
      </w:r>
      <w:r>
        <w:rPr>
          <w:noProof/>
        </w:rPr>
        <w:tab/>
      </w:r>
      <w:r>
        <w:rPr>
          <w:noProof/>
        </w:rPr>
        <w:fldChar w:fldCharType="begin"/>
      </w:r>
      <w:r>
        <w:rPr>
          <w:noProof/>
        </w:rPr>
        <w:instrText xml:space="preserve"> PAGEREF _Toc249155388 \h </w:instrText>
      </w:r>
      <w:r>
        <w:rPr>
          <w:noProof/>
        </w:rPr>
      </w:r>
      <w:r>
        <w:rPr>
          <w:noProof/>
        </w:rPr>
        <w:fldChar w:fldCharType="separate"/>
      </w:r>
      <w:r>
        <w:rPr>
          <w:noProof/>
        </w:rPr>
        <w:t>50</w:t>
      </w:r>
      <w:r>
        <w:rPr>
          <w:noProof/>
        </w:rPr>
        <w:fldChar w:fldCharType="end"/>
      </w:r>
    </w:p>
    <w:p w14:paraId="0E80808E" w14:textId="77777777" w:rsidR="009454B5" w:rsidRDefault="009454B5">
      <w:pPr>
        <w:pStyle w:val="TOC2"/>
        <w:tabs>
          <w:tab w:val="right" w:leader="dot" w:pos="8630"/>
        </w:tabs>
        <w:rPr>
          <w:noProof/>
        </w:rPr>
      </w:pPr>
      <w:r>
        <w:rPr>
          <w:noProof/>
        </w:rPr>
        <w:t>Results</w:t>
      </w:r>
      <w:r>
        <w:rPr>
          <w:noProof/>
        </w:rPr>
        <w:tab/>
      </w:r>
      <w:r>
        <w:rPr>
          <w:noProof/>
        </w:rPr>
        <w:fldChar w:fldCharType="begin"/>
      </w:r>
      <w:r>
        <w:rPr>
          <w:noProof/>
        </w:rPr>
        <w:instrText xml:space="preserve"> PAGEREF _Toc249155389 \h </w:instrText>
      </w:r>
      <w:r>
        <w:rPr>
          <w:noProof/>
        </w:rPr>
      </w:r>
      <w:r>
        <w:rPr>
          <w:noProof/>
        </w:rPr>
        <w:fldChar w:fldCharType="separate"/>
      </w:r>
      <w:r>
        <w:rPr>
          <w:noProof/>
        </w:rPr>
        <w:t>51</w:t>
      </w:r>
      <w:r>
        <w:rPr>
          <w:noProof/>
        </w:rPr>
        <w:fldChar w:fldCharType="end"/>
      </w:r>
    </w:p>
    <w:p w14:paraId="72D08194" w14:textId="77777777" w:rsidR="009454B5" w:rsidRDefault="009454B5" w:rsidP="009454B5">
      <w:pPr>
        <w:pStyle w:val="TOC3"/>
        <w:rPr>
          <w:noProof/>
        </w:rPr>
      </w:pPr>
      <w:r>
        <w:rPr>
          <w:noProof/>
        </w:rPr>
        <w:t>Seawater chemistry analysis</w:t>
      </w:r>
      <w:r>
        <w:rPr>
          <w:noProof/>
        </w:rPr>
        <w:tab/>
      </w:r>
      <w:r>
        <w:rPr>
          <w:noProof/>
        </w:rPr>
        <w:fldChar w:fldCharType="begin"/>
      </w:r>
      <w:r>
        <w:rPr>
          <w:noProof/>
        </w:rPr>
        <w:instrText xml:space="preserve"> PAGEREF _Toc249155390 \h </w:instrText>
      </w:r>
      <w:r>
        <w:rPr>
          <w:noProof/>
        </w:rPr>
      </w:r>
      <w:r>
        <w:rPr>
          <w:noProof/>
        </w:rPr>
        <w:fldChar w:fldCharType="separate"/>
      </w:r>
      <w:r>
        <w:rPr>
          <w:noProof/>
        </w:rPr>
        <w:t>51</w:t>
      </w:r>
      <w:r>
        <w:rPr>
          <w:noProof/>
        </w:rPr>
        <w:fldChar w:fldCharType="end"/>
      </w:r>
    </w:p>
    <w:p w14:paraId="4407FB3C" w14:textId="77777777" w:rsidR="009454B5" w:rsidRDefault="009454B5" w:rsidP="009454B5">
      <w:pPr>
        <w:pStyle w:val="TOC3"/>
        <w:rPr>
          <w:noProof/>
        </w:rPr>
      </w:pPr>
      <w:r>
        <w:rPr>
          <w:noProof/>
        </w:rPr>
        <w:t>Oyster growth</w:t>
      </w:r>
      <w:r>
        <w:rPr>
          <w:noProof/>
        </w:rPr>
        <w:tab/>
      </w:r>
      <w:r>
        <w:rPr>
          <w:noProof/>
        </w:rPr>
        <w:fldChar w:fldCharType="begin"/>
      </w:r>
      <w:r>
        <w:rPr>
          <w:noProof/>
        </w:rPr>
        <w:instrText xml:space="preserve"> PAGEREF _Toc249155391 \h </w:instrText>
      </w:r>
      <w:r>
        <w:rPr>
          <w:noProof/>
        </w:rPr>
      </w:r>
      <w:r>
        <w:rPr>
          <w:noProof/>
        </w:rPr>
        <w:fldChar w:fldCharType="separate"/>
      </w:r>
      <w:r>
        <w:rPr>
          <w:noProof/>
        </w:rPr>
        <w:t>52</w:t>
      </w:r>
      <w:r>
        <w:rPr>
          <w:noProof/>
        </w:rPr>
        <w:fldChar w:fldCharType="end"/>
      </w:r>
    </w:p>
    <w:p w14:paraId="013DF901" w14:textId="77777777" w:rsidR="009454B5" w:rsidRDefault="009454B5" w:rsidP="009454B5">
      <w:pPr>
        <w:pStyle w:val="TOC3"/>
        <w:rPr>
          <w:noProof/>
        </w:rPr>
      </w:pPr>
      <w:r>
        <w:rPr>
          <w:noProof/>
        </w:rPr>
        <w:t>Micromechanical properties</w:t>
      </w:r>
      <w:r>
        <w:rPr>
          <w:noProof/>
        </w:rPr>
        <w:tab/>
      </w:r>
      <w:r>
        <w:rPr>
          <w:noProof/>
        </w:rPr>
        <w:fldChar w:fldCharType="begin"/>
      </w:r>
      <w:r>
        <w:rPr>
          <w:noProof/>
        </w:rPr>
        <w:instrText xml:space="preserve"> PAGEREF _Toc249155392 \h </w:instrText>
      </w:r>
      <w:r>
        <w:rPr>
          <w:noProof/>
        </w:rPr>
      </w:r>
      <w:r>
        <w:rPr>
          <w:noProof/>
        </w:rPr>
        <w:fldChar w:fldCharType="separate"/>
      </w:r>
      <w:r>
        <w:rPr>
          <w:noProof/>
        </w:rPr>
        <w:t>52</w:t>
      </w:r>
      <w:r>
        <w:rPr>
          <w:noProof/>
        </w:rPr>
        <w:fldChar w:fldCharType="end"/>
      </w:r>
    </w:p>
    <w:p w14:paraId="4186446D" w14:textId="77777777" w:rsidR="009454B5" w:rsidRDefault="009454B5" w:rsidP="009454B5">
      <w:pPr>
        <w:pStyle w:val="TOC3"/>
        <w:rPr>
          <w:noProof/>
        </w:rPr>
      </w:pPr>
      <w:r>
        <w:rPr>
          <w:noProof/>
        </w:rPr>
        <w:t>Fatty acids</w:t>
      </w:r>
      <w:r>
        <w:rPr>
          <w:noProof/>
        </w:rPr>
        <w:tab/>
      </w:r>
      <w:r>
        <w:rPr>
          <w:noProof/>
        </w:rPr>
        <w:fldChar w:fldCharType="begin"/>
      </w:r>
      <w:r>
        <w:rPr>
          <w:noProof/>
        </w:rPr>
        <w:instrText xml:space="preserve"> PAGEREF _Toc249155393 \h </w:instrText>
      </w:r>
      <w:r>
        <w:rPr>
          <w:noProof/>
        </w:rPr>
      </w:r>
      <w:r>
        <w:rPr>
          <w:noProof/>
        </w:rPr>
        <w:fldChar w:fldCharType="separate"/>
      </w:r>
      <w:r>
        <w:rPr>
          <w:noProof/>
        </w:rPr>
        <w:t>54</w:t>
      </w:r>
      <w:r>
        <w:rPr>
          <w:noProof/>
        </w:rPr>
        <w:fldChar w:fldCharType="end"/>
      </w:r>
    </w:p>
    <w:p w14:paraId="56FBD1C1" w14:textId="77777777" w:rsidR="009454B5" w:rsidRDefault="009454B5" w:rsidP="009454B5">
      <w:pPr>
        <w:pStyle w:val="TOC3"/>
        <w:rPr>
          <w:noProof/>
        </w:rPr>
      </w:pPr>
      <w:r>
        <w:rPr>
          <w:noProof/>
        </w:rPr>
        <w:t>Heat shock response</w:t>
      </w:r>
      <w:r>
        <w:rPr>
          <w:noProof/>
        </w:rPr>
        <w:tab/>
      </w:r>
      <w:r>
        <w:rPr>
          <w:noProof/>
        </w:rPr>
        <w:fldChar w:fldCharType="begin"/>
      </w:r>
      <w:r>
        <w:rPr>
          <w:noProof/>
        </w:rPr>
        <w:instrText xml:space="preserve"> PAGEREF _Toc249155394 \h </w:instrText>
      </w:r>
      <w:r>
        <w:rPr>
          <w:noProof/>
        </w:rPr>
      </w:r>
      <w:r>
        <w:rPr>
          <w:noProof/>
        </w:rPr>
        <w:fldChar w:fldCharType="separate"/>
      </w:r>
      <w:r>
        <w:rPr>
          <w:noProof/>
        </w:rPr>
        <w:t>55</w:t>
      </w:r>
      <w:r>
        <w:rPr>
          <w:noProof/>
        </w:rPr>
        <w:fldChar w:fldCharType="end"/>
      </w:r>
    </w:p>
    <w:p w14:paraId="15AABB59" w14:textId="77777777" w:rsidR="009454B5" w:rsidRDefault="009454B5" w:rsidP="009454B5">
      <w:pPr>
        <w:pStyle w:val="TOC3"/>
        <w:rPr>
          <w:noProof/>
        </w:rPr>
      </w:pPr>
      <w:r>
        <w:rPr>
          <w:noProof/>
        </w:rPr>
        <w:t>Proteomics</w:t>
      </w:r>
      <w:r>
        <w:rPr>
          <w:noProof/>
        </w:rPr>
        <w:tab/>
      </w:r>
      <w:r>
        <w:rPr>
          <w:noProof/>
        </w:rPr>
        <w:fldChar w:fldCharType="begin"/>
      </w:r>
      <w:r>
        <w:rPr>
          <w:noProof/>
        </w:rPr>
        <w:instrText xml:space="preserve"> PAGEREF _Toc249155395 \h </w:instrText>
      </w:r>
      <w:r>
        <w:rPr>
          <w:noProof/>
        </w:rPr>
      </w:r>
      <w:r>
        <w:rPr>
          <w:noProof/>
        </w:rPr>
        <w:fldChar w:fldCharType="separate"/>
      </w:r>
      <w:r>
        <w:rPr>
          <w:noProof/>
        </w:rPr>
        <w:t>55</w:t>
      </w:r>
      <w:r>
        <w:rPr>
          <w:noProof/>
        </w:rPr>
        <w:fldChar w:fldCharType="end"/>
      </w:r>
    </w:p>
    <w:p w14:paraId="51E1FDD4" w14:textId="77777777" w:rsidR="009454B5" w:rsidRDefault="009454B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_Toc249155396 \h </w:instrText>
      </w:r>
      <w:r>
        <w:rPr>
          <w:noProof/>
        </w:rPr>
      </w:r>
      <w:r>
        <w:rPr>
          <w:noProof/>
        </w:rPr>
        <w:fldChar w:fldCharType="separate"/>
      </w:r>
      <w:r>
        <w:rPr>
          <w:noProof/>
        </w:rPr>
        <w:t>60</w:t>
      </w:r>
      <w:r>
        <w:rPr>
          <w:noProof/>
        </w:rPr>
        <w:fldChar w:fldCharType="end"/>
      </w:r>
    </w:p>
    <w:p w14:paraId="65D38634" w14:textId="77777777" w:rsidR="009454B5" w:rsidRDefault="009454B5" w:rsidP="009454B5">
      <w:pPr>
        <w:pStyle w:val="TOC3"/>
        <w:rPr>
          <w:noProof/>
        </w:rPr>
      </w:pPr>
      <w:r>
        <w:rPr>
          <w:noProof/>
        </w:rPr>
        <w:t>Conclusion</w:t>
      </w:r>
      <w:r>
        <w:rPr>
          <w:noProof/>
        </w:rPr>
        <w:tab/>
      </w:r>
      <w:r>
        <w:rPr>
          <w:noProof/>
        </w:rPr>
        <w:fldChar w:fldCharType="begin"/>
      </w:r>
      <w:r>
        <w:rPr>
          <w:noProof/>
        </w:rPr>
        <w:instrText xml:space="preserve"> PAGEREF _Toc249155397 \h </w:instrText>
      </w:r>
      <w:r>
        <w:rPr>
          <w:noProof/>
        </w:rPr>
      </w:r>
      <w:r>
        <w:rPr>
          <w:noProof/>
        </w:rPr>
        <w:fldChar w:fldCharType="separate"/>
      </w:r>
      <w:r>
        <w:rPr>
          <w:noProof/>
        </w:rPr>
        <w:t>66</w:t>
      </w:r>
      <w:r>
        <w:rPr>
          <w:noProof/>
        </w:rPr>
        <w:fldChar w:fldCharType="end"/>
      </w:r>
    </w:p>
    <w:p w14:paraId="7ED07112" w14:textId="77777777" w:rsidR="009454B5" w:rsidRDefault="009454B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_Toc249155398 \h </w:instrText>
      </w:r>
      <w:r>
        <w:rPr>
          <w:noProof/>
        </w:rPr>
      </w:r>
      <w:r>
        <w:rPr>
          <w:noProof/>
        </w:rPr>
        <w:fldChar w:fldCharType="separate"/>
      </w:r>
      <w:r>
        <w:rPr>
          <w:noProof/>
        </w:rPr>
        <w:t>67</w:t>
      </w:r>
      <w:r>
        <w:rPr>
          <w:noProof/>
        </w:rPr>
        <w:fldChar w:fldCharType="end"/>
      </w:r>
    </w:p>
    <w:p w14:paraId="1D8ECD3B" w14:textId="77777777" w:rsidR="009454B5" w:rsidRDefault="009454B5">
      <w:pPr>
        <w:pStyle w:val="TOC2"/>
        <w:tabs>
          <w:tab w:val="right" w:leader="dot" w:pos="8630"/>
        </w:tabs>
        <w:rPr>
          <w:noProof/>
        </w:rPr>
      </w:pPr>
      <w:r>
        <w:rPr>
          <w:noProof/>
        </w:rPr>
        <w:t>References</w:t>
      </w:r>
      <w:r>
        <w:rPr>
          <w:noProof/>
        </w:rPr>
        <w:tab/>
      </w:r>
      <w:r>
        <w:rPr>
          <w:noProof/>
        </w:rPr>
        <w:fldChar w:fldCharType="begin"/>
      </w:r>
      <w:r>
        <w:rPr>
          <w:noProof/>
        </w:rPr>
        <w:instrText xml:space="preserve"> PAGEREF _Toc249155399 \h </w:instrText>
      </w:r>
      <w:r>
        <w:rPr>
          <w:noProof/>
        </w:rPr>
      </w:r>
      <w:r>
        <w:rPr>
          <w:noProof/>
        </w:rPr>
        <w:fldChar w:fldCharType="separate"/>
      </w:r>
      <w:r>
        <w:rPr>
          <w:noProof/>
        </w:rPr>
        <w:t>67</w:t>
      </w:r>
      <w:r>
        <w:rPr>
          <w:noProof/>
        </w:rPr>
        <w:fldChar w:fldCharType="end"/>
      </w:r>
    </w:p>
    <w:p w14:paraId="0A64167F" w14:textId="77777777" w:rsidR="009454B5" w:rsidRDefault="009454B5">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_Toc249155400 \h </w:instrText>
      </w:r>
      <w:r>
        <w:rPr>
          <w:noProof/>
        </w:rPr>
      </w:r>
      <w:r>
        <w:rPr>
          <w:noProof/>
        </w:rPr>
        <w:fldChar w:fldCharType="separate"/>
      </w:r>
      <w:r>
        <w:rPr>
          <w:noProof/>
        </w:rPr>
        <w:t>76</w:t>
      </w:r>
      <w:r>
        <w:rPr>
          <w:noProof/>
        </w:rPr>
        <w:fldChar w:fldCharType="end"/>
      </w:r>
    </w:p>
    <w:p w14:paraId="3CBFB33E" w14:textId="77777777" w:rsidR="009454B5" w:rsidRDefault="009454B5">
      <w:pPr>
        <w:pStyle w:val="TOC2"/>
        <w:tabs>
          <w:tab w:val="right" w:leader="dot" w:pos="8630"/>
        </w:tabs>
        <w:rPr>
          <w:noProof/>
        </w:rPr>
      </w:pPr>
      <w:r>
        <w:rPr>
          <w:noProof/>
        </w:rPr>
        <w:t>Abstract</w:t>
      </w:r>
      <w:r>
        <w:rPr>
          <w:noProof/>
        </w:rPr>
        <w:tab/>
      </w:r>
      <w:r>
        <w:rPr>
          <w:noProof/>
        </w:rPr>
        <w:fldChar w:fldCharType="begin"/>
      </w:r>
      <w:r>
        <w:rPr>
          <w:noProof/>
        </w:rPr>
        <w:instrText xml:space="preserve"> PAGEREF _Toc249155401 \h </w:instrText>
      </w:r>
      <w:r>
        <w:rPr>
          <w:noProof/>
        </w:rPr>
      </w:r>
      <w:r>
        <w:rPr>
          <w:noProof/>
        </w:rPr>
        <w:fldChar w:fldCharType="separate"/>
      </w:r>
      <w:r>
        <w:rPr>
          <w:noProof/>
        </w:rPr>
        <w:t>76</w:t>
      </w:r>
      <w:r>
        <w:rPr>
          <w:noProof/>
        </w:rPr>
        <w:fldChar w:fldCharType="end"/>
      </w:r>
    </w:p>
    <w:p w14:paraId="214C38B4" w14:textId="77777777" w:rsidR="009454B5" w:rsidRDefault="009454B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_Toc249155402 \h </w:instrText>
      </w:r>
      <w:r>
        <w:rPr>
          <w:noProof/>
        </w:rPr>
      </w:r>
      <w:r>
        <w:rPr>
          <w:noProof/>
        </w:rPr>
        <w:fldChar w:fldCharType="separate"/>
      </w:r>
      <w:r>
        <w:rPr>
          <w:noProof/>
        </w:rPr>
        <w:t>76</w:t>
      </w:r>
      <w:r>
        <w:rPr>
          <w:noProof/>
        </w:rPr>
        <w:fldChar w:fldCharType="end"/>
      </w:r>
    </w:p>
    <w:p w14:paraId="04280971" w14:textId="77777777" w:rsidR="009454B5" w:rsidRDefault="009454B5">
      <w:pPr>
        <w:pStyle w:val="TOC2"/>
        <w:tabs>
          <w:tab w:val="right" w:leader="dot" w:pos="8630"/>
        </w:tabs>
        <w:rPr>
          <w:noProof/>
        </w:rPr>
      </w:pPr>
      <w:r>
        <w:rPr>
          <w:noProof/>
        </w:rPr>
        <w:t>Methods</w:t>
      </w:r>
      <w:r>
        <w:rPr>
          <w:noProof/>
        </w:rPr>
        <w:tab/>
      </w:r>
      <w:r>
        <w:rPr>
          <w:noProof/>
        </w:rPr>
        <w:fldChar w:fldCharType="begin"/>
      </w:r>
      <w:r>
        <w:rPr>
          <w:noProof/>
        </w:rPr>
        <w:instrText xml:space="preserve"> PAGEREF _Toc249155403 \h </w:instrText>
      </w:r>
      <w:r>
        <w:rPr>
          <w:noProof/>
        </w:rPr>
      </w:r>
      <w:r>
        <w:rPr>
          <w:noProof/>
        </w:rPr>
        <w:fldChar w:fldCharType="separate"/>
      </w:r>
      <w:r>
        <w:rPr>
          <w:noProof/>
        </w:rPr>
        <w:t>76</w:t>
      </w:r>
      <w:r>
        <w:rPr>
          <w:noProof/>
        </w:rPr>
        <w:fldChar w:fldCharType="end"/>
      </w:r>
    </w:p>
    <w:p w14:paraId="0EFEE26F" w14:textId="77777777" w:rsidR="009454B5" w:rsidRDefault="009454B5">
      <w:pPr>
        <w:pStyle w:val="TOC2"/>
        <w:tabs>
          <w:tab w:val="right" w:leader="dot" w:pos="8630"/>
        </w:tabs>
        <w:rPr>
          <w:noProof/>
        </w:rPr>
      </w:pPr>
      <w:r>
        <w:rPr>
          <w:noProof/>
        </w:rPr>
        <w:t>Results</w:t>
      </w:r>
      <w:r>
        <w:rPr>
          <w:noProof/>
        </w:rPr>
        <w:tab/>
      </w:r>
      <w:r>
        <w:rPr>
          <w:noProof/>
        </w:rPr>
        <w:fldChar w:fldCharType="begin"/>
      </w:r>
      <w:r>
        <w:rPr>
          <w:noProof/>
        </w:rPr>
        <w:instrText xml:space="preserve"> PAGEREF _Toc249155404 \h </w:instrText>
      </w:r>
      <w:r>
        <w:rPr>
          <w:noProof/>
        </w:rPr>
      </w:r>
      <w:r>
        <w:rPr>
          <w:noProof/>
        </w:rPr>
        <w:fldChar w:fldCharType="separate"/>
      </w:r>
      <w:r>
        <w:rPr>
          <w:noProof/>
        </w:rPr>
        <w:t>76</w:t>
      </w:r>
      <w:r>
        <w:rPr>
          <w:noProof/>
        </w:rPr>
        <w:fldChar w:fldCharType="end"/>
      </w:r>
    </w:p>
    <w:p w14:paraId="63418082" w14:textId="77777777" w:rsidR="009454B5" w:rsidRDefault="009454B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_Toc249155405 \h </w:instrText>
      </w:r>
      <w:r>
        <w:rPr>
          <w:noProof/>
        </w:rPr>
      </w:r>
      <w:r>
        <w:rPr>
          <w:noProof/>
        </w:rPr>
        <w:fldChar w:fldCharType="separate"/>
      </w:r>
      <w:r>
        <w:rPr>
          <w:noProof/>
        </w:rPr>
        <w:t>76</w:t>
      </w:r>
      <w:r>
        <w:rPr>
          <w:noProof/>
        </w:rPr>
        <w:fldChar w:fldCharType="end"/>
      </w:r>
    </w:p>
    <w:p w14:paraId="62EBE04E" w14:textId="77777777" w:rsidR="009454B5" w:rsidRDefault="009454B5">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_Toc249155406 \h </w:instrText>
      </w:r>
      <w:r>
        <w:rPr>
          <w:noProof/>
        </w:rPr>
      </w:r>
      <w:r>
        <w:rPr>
          <w:noProof/>
        </w:rPr>
        <w:fldChar w:fldCharType="separate"/>
      </w:r>
      <w:r>
        <w:rPr>
          <w:noProof/>
        </w:rPr>
        <w:t>76</w:t>
      </w:r>
      <w:r>
        <w:rPr>
          <w:noProof/>
        </w:rPr>
        <w:fldChar w:fldCharType="end"/>
      </w:r>
    </w:p>
    <w:p w14:paraId="45D2BE3B" w14:textId="5CF7F564" w:rsidR="00DF70F0" w:rsidRDefault="009454B5">
      <w:r>
        <w:fldChar w:fldCharType="end"/>
      </w:r>
    </w:p>
    <w:p w14:paraId="40D8BA45" w14:textId="77777777" w:rsidR="00C02D9B" w:rsidRDefault="00C02D9B"/>
    <w:p w14:paraId="556EC4ED" w14:textId="77777777" w:rsidR="00C02D9B" w:rsidRDefault="00C02D9B" w:rsidP="00C02D9B">
      <w:pPr>
        <w:pStyle w:val="Heading1"/>
      </w:pPr>
      <w:bookmarkStart w:id="0" w:name="_Toc249155340"/>
      <w:r>
        <w:t>List of Figures</w:t>
      </w:r>
      <w:bookmarkEnd w:id="0"/>
    </w:p>
    <w:p w14:paraId="1585AC77" w14:textId="77777777" w:rsidR="00C02D9B" w:rsidRPr="00C02D9B" w:rsidRDefault="00C02D9B" w:rsidP="00C02D9B">
      <w:pPr>
        <w:pStyle w:val="Heading1"/>
      </w:pPr>
      <w:bookmarkStart w:id="1" w:name="_Toc249155341"/>
      <w:r>
        <w:t>List of Tables</w:t>
      </w:r>
      <w:bookmarkEnd w:id="1"/>
    </w:p>
    <w:p w14:paraId="44360814" w14:textId="77777777" w:rsidR="00C02D9B" w:rsidRDefault="00C02D9B" w:rsidP="00C02D9B">
      <w:pPr>
        <w:pStyle w:val="Heading1"/>
      </w:pPr>
      <w:bookmarkStart w:id="2" w:name="_Toc249155342"/>
      <w:r>
        <w:t>Introduction</w:t>
      </w:r>
      <w:bookmarkEnd w:id="2"/>
    </w:p>
    <w:p w14:paraId="67E0BF9B" w14:textId="77777777" w:rsidR="00C02D9B" w:rsidRPr="00C02D9B" w:rsidRDefault="00C02D9B" w:rsidP="00C02D9B">
      <w:pPr>
        <w:pStyle w:val="Heading2"/>
      </w:pPr>
      <w:bookmarkStart w:id="3" w:name="_Toc249155343"/>
      <w:r>
        <w:t>Background</w:t>
      </w:r>
      <w:bookmarkEnd w:id="3"/>
    </w:p>
    <w:p w14:paraId="34237D11" w14:textId="77777777" w:rsidR="00DF70F0" w:rsidRDefault="00C02D9B" w:rsidP="00C02D9B">
      <w:pPr>
        <w:pStyle w:val="Heading2"/>
      </w:pPr>
      <w:bookmarkStart w:id="4" w:name="_Toc249155344"/>
      <w:r>
        <w:t>Ocean acidification</w:t>
      </w:r>
      <w:bookmarkEnd w:id="4"/>
    </w:p>
    <w:p w14:paraId="5081D442" w14:textId="77777777" w:rsidR="00C02D9B" w:rsidRDefault="00C02D9B" w:rsidP="00C02D9B">
      <w:pPr>
        <w:pStyle w:val="Heading3"/>
      </w:pPr>
      <w:bookmarkStart w:id="5" w:name="_Toc249155345"/>
      <w:r>
        <w:t>Chemistry</w:t>
      </w:r>
      <w:bookmarkEnd w:id="5"/>
    </w:p>
    <w:p w14:paraId="1FB8D513" w14:textId="77777777" w:rsidR="00C02D9B" w:rsidRPr="00C02D9B" w:rsidRDefault="00C02D9B" w:rsidP="00C02D9B">
      <w:pPr>
        <w:pStyle w:val="Heading3"/>
      </w:pPr>
      <w:bookmarkStart w:id="6" w:name="_Toc249155346"/>
      <w:r>
        <w:t>Nearshore environmental processes</w:t>
      </w:r>
      <w:bookmarkEnd w:id="6"/>
    </w:p>
    <w:p w14:paraId="10D2FF5D" w14:textId="77777777" w:rsidR="00DF70F0" w:rsidRDefault="00C02D9B" w:rsidP="00C02D9B">
      <w:pPr>
        <w:pStyle w:val="Heading3"/>
      </w:pPr>
      <w:bookmarkStart w:id="7" w:name="_Toc249155347"/>
      <w:r>
        <w:t>Ocean acidification in Puget Sound</w:t>
      </w:r>
      <w:bookmarkEnd w:id="7"/>
    </w:p>
    <w:p w14:paraId="099B54E0" w14:textId="77777777" w:rsidR="00C02D9B" w:rsidRDefault="00C02D9B" w:rsidP="00C02D9B">
      <w:pPr>
        <w:pStyle w:val="Heading2"/>
      </w:pPr>
      <w:bookmarkStart w:id="8" w:name="_Toc249155348"/>
      <w:r>
        <w:t>Implications for bivalves</w:t>
      </w:r>
      <w:bookmarkEnd w:id="8"/>
    </w:p>
    <w:p w14:paraId="2713D0CC" w14:textId="77777777" w:rsidR="00C02D9B" w:rsidRDefault="00C02D9B" w:rsidP="00C02D9B"/>
    <w:p w14:paraId="3E3DD729" w14:textId="77777777" w:rsidR="00C02D9B" w:rsidRDefault="00C02D9B" w:rsidP="00C02D9B">
      <w:pPr>
        <w:pStyle w:val="Heading1"/>
        <w:rPr>
          <w:i/>
        </w:rPr>
      </w:pPr>
      <w:bookmarkStart w:id="9" w:name="_Toc249155349"/>
      <w:r>
        <w:t>Chapter I: Elevated pCO</w:t>
      </w:r>
      <w:r w:rsidRPr="00860E0A">
        <w:rPr>
          <w:vertAlign w:val="subscript"/>
        </w:rPr>
        <w:t>2</w:t>
      </w:r>
      <w:r>
        <w:t xml:space="preserve"> causes developmental delay in early larval Pacific oysters, </w:t>
      </w:r>
      <w:r>
        <w:rPr>
          <w:i/>
        </w:rPr>
        <w:t>Crassostrea gigas</w:t>
      </w:r>
      <w:bookmarkEnd w:id="9"/>
    </w:p>
    <w:p w14:paraId="74F3CB67" w14:textId="77777777" w:rsidR="00722A74" w:rsidRDefault="00722A74" w:rsidP="00722A74"/>
    <w:p w14:paraId="47CF1C1D" w14:textId="2A36B1CD"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Crassostrea gigas. Mar Biol, 160: 1973-1982. doi 10.1007/s00227-012-2055-x</w:t>
      </w:r>
    </w:p>
    <w:p w14:paraId="65740A72" w14:textId="77777777" w:rsidR="00C02D9B" w:rsidRDefault="00C02D9B" w:rsidP="00C02D9B">
      <w:pPr>
        <w:pStyle w:val="Heading2"/>
      </w:pPr>
      <w:bookmarkStart w:id="10" w:name="_Toc249155350"/>
      <w:r>
        <w:t>Abstract</w:t>
      </w:r>
      <w:bookmarkEnd w:id="10"/>
    </w:p>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raised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11" w:name="_Toc249155351"/>
      <w:r>
        <w:t>Introduction</w:t>
      </w:r>
      <w:bookmarkEnd w:id="11"/>
    </w:p>
    <w:p w14:paraId="6AB0B2E8" w14:textId="0C2B7BED"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15088724" w14:textId="13F3C259"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C. gigas’s</w:t>
      </w:r>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03352C1A"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extended period of one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species’ or population’s original ecological niche.</w:t>
      </w:r>
      <w:r w:rsidR="00E01B09" w:rsidRPr="00E01B09">
        <w:rPr>
          <w:rFonts w:ascii="Times" w:hAnsi="Times" w:cs="AdvPTimes"/>
          <w:color w:val="000000"/>
        </w:rPr>
        <w:t xml:space="preserve">  </w:t>
      </w:r>
    </w:p>
    <w:p w14:paraId="29E98184" w14:textId="4DF338EE"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7E1A74E7" w14:textId="54DCEF78"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benthic-pelagic coupling through 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μ</w:t>
      </w:r>
      <w:r w:rsidRPr="00E01B09">
        <w:rPr>
          <w:rFonts w:ascii="Times" w:hAnsi="Times" w:cs="AdvPTimes"/>
          <w:color w:val="000000"/>
        </w:rPr>
        <w:t>atm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1FD6D811" w14:textId="77777777" w:rsidR="00C02D9B" w:rsidRDefault="00C02D9B" w:rsidP="00C02D9B">
      <w:pPr>
        <w:pStyle w:val="Heading2"/>
      </w:pPr>
      <w:bookmarkStart w:id="12" w:name="_Toc249155352"/>
      <w:r>
        <w:t>M</w:t>
      </w:r>
      <w:r w:rsidR="00E01B09">
        <w:t>aterials and m</w:t>
      </w:r>
      <w:r>
        <w:t>ethods</w:t>
      </w:r>
      <w:bookmarkEnd w:id="12"/>
    </w:p>
    <w:p w14:paraId="102BCF1B" w14:textId="77777777" w:rsidR="00E01B09" w:rsidRDefault="00E01B09" w:rsidP="00E01B09">
      <w:pPr>
        <w:pStyle w:val="Heading3"/>
      </w:pPr>
      <w:bookmarkStart w:id="13" w:name="_Toc249155353"/>
      <w:r>
        <w:t>Seawater chemistry manipulation</w:t>
      </w:r>
      <w:bookmarkEnd w:id="13"/>
    </w:p>
    <w:p w14:paraId="7BB50ADC" w14:textId="734C76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-depleted using membrane contactors (Membrana, Charlotte, 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6B6E81C5"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Reservoir pH was continuously monitored by a Durafet III pH probe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0975597B" w14:textId="30012300"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75F68159" w14:textId="77777777" w:rsidR="00E01B09" w:rsidRDefault="00E01B09" w:rsidP="00E01B09">
      <w:pPr>
        <w:pStyle w:val="Heading3"/>
      </w:pPr>
      <w:bookmarkStart w:id="14" w:name="_Toc249155354"/>
      <w:r>
        <w:t>Oysters</w:t>
      </w:r>
      <w:bookmarkEnd w:id="14"/>
    </w:p>
    <w:p w14:paraId="0CCD1FF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Ambient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1470F2B9" w14:textId="274093CF"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Six containers of fertilized eggs were transferred to microcosms containing one of 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75D48DA4" w14:textId="75900632"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with a Nikon Eclipse E600 and NIS Elements Basic Research software</w:t>
      </w:r>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55B7C79E" w14:textId="56C6896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19920BDD" wp14:editId="12DDCFCA">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7">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62793C31" w14:textId="43F0D47D"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1. D-hinge larvae under polarized light portraying calcification at the hinge without a Maltese cross in the shell (a) and full calcification as evidenced by the Maltese cross (b).</w:t>
      </w:r>
    </w:p>
    <w:p w14:paraId="764ABEFE" w14:textId="77777777" w:rsidR="00E01B09" w:rsidRDefault="00E01B09" w:rsidP="00E01B09">
      <w:pPr>
        <w:pStyle w:val="Heading3"/>
      </w:pPr>
      <w:bookmarkStart w:id="15" w:name="_Toc249155355"/>
      <w:r>
        <w:t>Carbonate chemistry</w:t>
      </w:r>
      <w:bookmarkEnd w:id="15"/>
    </w:p>
    <w:p w14:paraId="3DBD259B" w14:textId="5A4338C8"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31D3241B" w14:textId="77777777" w:rsidR="00E01B09" w:rsidRDefault="00E01B09" w:rsidP="00E01B09">
      <w:pPr>
        <w:pStyle w:val="Heading3"/>
      </w:pPr>
      <w:bookmarkStart w:id="16" w:name="_Toc249155356"/>
      <w:r>
        <w:t>Statistics</w:t>
      </w:r>
      <w:bookmarkEnd w:id="16"/>
    </w:p>
    <w:p w14:paraId="0B6BECFE" w14:textId="0837999F"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The occurrence of a developmental delay was assessed by fitting the regression of shell height on hinge length to a linear model and testing for differences</w:t>
      </w:r>
    </w:p>
    <w:p w14:paraId="57E4B575" w14:textId="6B626BDF" w:rsidR="00650BE8" w:rsidRPr="00353A53" w:rsidRDefault="00650BE8" w:rsidP="00426D9F">
      <w:pPr>
        <w:widowControl w:val="0"/>
        <w:autoSpaceDE w:val="0"/>
        <w:autoSpaceDN w:val="0"/>
        <w:adjustRightInd w:val="0"/>
        <w:spacing w:line="360" w:lineRule="auto"/>
        <w:rPr>
          <w:rFonts w:ascii="Times" w:hAnsi="Times" w:cs="AdvPTimes"/>
        </w:rPr>
      </w:pPr>
      <w:r w:rsidRPr="00353A53">
        <w:rPr>
          <w:rFonts w:ascii="Times" w:hAnsi="Times" w:cs="AdvPTimes"/>
        </w:rPr>
        <w:t>in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17" w:name="_Toc249155357"/>
      <w:r>
        <w:t>Results</w:t>
      </w:r>
      <w:bookmarkEnd w:id="17"/>
    </w:p>
    <w:p w14:paraId="4F659E2F" w14:textId="77777777" w:rsidR="00E01B09" w:rsidRDefault="00E01B09" w:rsidP="00E01B09">
      <w:pPr>
        <w:pStyle w:val="Heading3"/>
      </w:pPr>
      <w:bookmarkStart w:id="18" w:name="_Toc249155358"/>
      <w:r>
        <w:t>Carbonate chemistry</w:t>
      </w:r>
      <w:bookmarkEnd w:id="18"/>
    </w:p>
    <w:p w14:paraId="093B4B93" w14:textId="1CD5EB20"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r w:rsidRPr="00650BE8">
        <w:rPr>
          <w:rFonts w:ascii="Times" w:hAnsi="Times" w:cs="AdvPTimes"/>
          <w:color w:val="000000"/>
        </w:rPr>
        <w:t>Amb</w:t>
      </w:r>
      <w:r w:rsidR="00DB3ADB">
        <w:rPr>
          <w:rFonts w:ascii="Times" w:hAnsi="Times" w:cs="AdvPTimes"/>
          <w:color w:val="000000"/>
        </w:rPr>
        <w:t>ient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39771879" w14:textId="77777777" w:rsidR="0059047D" w:rsidRDefault="0059047D" w:rsidP="00650BE8">
      <w:pPr>
        <w:widowControl w:val="0"/>
        <w:autoSpaceDE w:val="0"/>
        <w:autoSpaceDN w:val="0"/>
        <w:adjustRightInd w:val="0"/>
        <w:ind w:firstLine="720"/>
        <w:rPr>
          <w:rFonts w:ascii="Times" w:hAnsi="Times" w:cs="AdvPTimes"/>
          <w:color w:val="000000"/>
        </w:rPr>
      </w:pPr>
    </w:p>
    <w:p w14:paraId="180145CE" w14:textId="314AA71F"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r>
        <w:rPr>
          <w:rFonts w:ascii="Times" w:hAnsi="Times" w:cs="AdvPTimes"/>
          <w:color w:val="000000"/>
        </w:rPr>
        <w:t xml:space="preserve">,  pH,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01F37EBE" w14:textId="62277D50"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FFF52A3" wp14:editId="4887ACE9">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4705779C" w14:textId="77777777" w:rsidR="0059047D" w:rsidRDefault="0059047D" w:rsidP="0059047D">
      <w:pPr>
        <w:widowControl w:val="0"/>
        <w:autoSpaceDE w:val="0"/>
        <w:autoSpaceDN w:val="0"/>
        <w:adjustRightInd w:val="0"/>
        <w:rPr>
          <w:rFonts w:ascii="Times" w:hAnsi="Times" w:cs="AdvPTimes"/>
        </w:rPr>
      </w:pPr>
    </w:p>
    <w:p w14:paraId="37CA7284" w14:textId="1D48FC1B"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3FC5720" wp14:editId="08F84E8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38EA1EB6" w14:textId="17FA2CF3"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2. 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  Average pH for the experiment for each treatment is represented by solid lines.  The DuraFET probes recorded pH measurements every minute.</w:t>
      </w:r>
    </w:p>
    <w:p w14:paraId="08723EC7" w14:textId="77777777" w:rsidR="00E01B09" w:rsidRDefault="00E01B09" w:rsidP="00E01B09">
      <w:pPr>
        <w:pStyle w:val="Heading3"/>
      </w:pPr>
      <w:bookmarkStart w:id="19" w:name="_Toc249155359"/>
      <w:r>
        <w:t>Size, development, and calcification</w:t>
      </w:r>
      <w:bookmarkEnd w:id="19"/>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Ambient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r w:rsidRPr="00650BE8">
        <w:rPr>
          <w:rFonts w:ascii="Times" w:hAnsi="Times" w:cs="AdvPTimes"/>
        </w:rPr>
        <w:t>and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4E270BB4" w14:textId="151FF512"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Ambient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On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4F60AA03" w14:textId="5EA48FBA"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A2AAB5C" wp14:editId="77EEA8C4">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0">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40F5A2" w14:textId="739B3433"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5A283D17" w14:textId="77777777" w:rsidR="0030116B" w:rsidRPr="00650BE8" w:rsidRDefault="0030116B" w:rsidP="0059047D">
      <w:pPr>
        <w:widowControl w:val="0"/>
        <w:autoSpaceDE w:val="0"/>
        <w:autoSpaceDN w:val="0"/>
        <w:adjustRightInd w:val="0"/>
        <w:rPr>
          <w:rFonts w:ascii="Times" w:hAnsi="Times" w:cs="AdvPTimes"/>
          <w:color w:val="000000"/>
        </w:rPr>
      </w:pPr>
    </w:p>
    <w:p w14:paraId="27A93D84" w14:textId="4C087083"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42E8523"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5DF704AE" w14:textId="27B645E4"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79F10A03" w14:textId="7CD5158B"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15A87A59" wp14:editId="22CF6B7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1">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A5982F4" w14:textId="77777777" w:rsidR="0030116B" w:rsidRDefault="0030116B" w:rsidP="0030116B">
      <w:pPr>
        <w:widowControl w:val="0"/>
        <w:autoSpaceDE w:val="0"/>
        <w:autoSpaceDN w:val="0"/>
        <w:adjustRightInd w:val="0"/>
        <w:rPr>
          <w:rFonts w:ascii="Times" w:hAnsi="Times" w:cs="AdvPTimes"/>
          <w:color w:val="000000"/>
        </w:rPr>
      </w:pPr>
    </w:p>
    <w:p w14:paraId="27018742" w14:textId="77777777" w:rsidR="0030116B" w:rsidRDefault="0030116B" w:rsidP="0030116B">
      <w:pPr>
        <w:widowControl w:val="0"/>
        <w:autoSpaceDE w:val="0"/>
        <w:autoSpaceDN w:val="0"/>
        <w:adjustRightInd w:val="0"/>
        <w:rPr>
          <w:rFonts w:ascii="Times" w:hAnsi="Times" w:cs="AdvPTimes"/>
          <w:color w:val="000000"/>
        </w:rPr>
      </w:pPr>
    </w:p>
    <w:p w14:paraId="0FDDCA20" w14:textId="4A9FED04"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7454968E" wp14:editId="6C20B933">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3E6DBDDB" w14:textId="16A3FBD2"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4. Larval hinge length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00AEC6CC" w14:textId="77777777" w:rsidR="0030116B" w:rsidRDefault="0030116B" w:rsidP="00367483">
      <w:pPr>
        <w:widowControl w:val="0"/>
        <w:autoSpaceDE w:val="0"/>
        <w:autoSpaceDN w:val="0"/>
        <w:adjustRightInd w:val="0"/>
        <w:rPr>
          <w:rFonts w:ascii="Times" w:hAnsi="Times" w:cs="AdvPTimes"/>
          <w:color w:val="000000"/>
        </w:rPr>
      </w:pPr>
    </w:p>
    <w:p w14:paraId="7CDEBDC1"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1B92FBB" wp14:editId="4CC00077">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2E435EBA" w14:textId="77777777" w:rsidR="0030116B" w:rsidRDefault="0030116B" w:rsidP="00367483">
      <w:pPr>
        <w:widowControl w:val="0"/>
        <w:autoSpaceDE w:val="0"/>
        <w:autoSpaceDN w:val="0"/>
        <w:adjustRightInd w:val="0"/>
        <w:rPr>
          <w:rFonts w:ascii="Times" w:hAnsi="Times" w:cs="AdvPTimes"/>
          <w:color w:val="000000"/>
        </w:rPr>
      </w:pPr>
    </w:p>
    <w:p w14:paraId="6995DE6F" w14:textId="2C005F69"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5. Larval shell height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4C0D2F17" w14:textId="08227DDE"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B336D93" wp14:editId="58A5C185">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645CEF33" w14:textId="25591ADC"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Regression of larval shell height on hinge length by treatment and day.  Data from larvae raised under Ambient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Ambient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21DF19A2" w14:textId="77777777" w:rsidR="00C02D9B" w:rsidRDefault="00C02D9B" w:rsidP="00C02D9B">
      <w:pPr>
        <w:pStyle w:val="Heading2"/>
      </w:pPr>
      <w:bookmarkStart w:id="20" w:name="_Toc249155360"/>
      <w:r>
        <w:t>Discussion</w:t>
      </w:r>
      <w:bookmarkEnd w:id="20"/>
    </w:p>
    <w:p w14:paraId="1EAFEAAE" w14:textId="7AD12369"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Since we did not measure growth or calcification in our larvae at 48 h post-fertilization, we are not able to draw 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(560 and 800 latm)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4C333436" w14:textId="26C39A04"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5A691363" w14:textId="38F85EED"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The impact of ocean acidification on larval invertebrates can change in direction and magnitude as the larvae 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an increased metabolic rate would have been supported by sufficient maternal energy resources.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6518D82B" w14:textId="03E5388D"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37F5AF17" w14:textId="6B7D45F4"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(Mercenaria mercenaria) and bay scallop </w:t>
      </w:r>
      <w:r w:rsidRPr="00A61FA8">
        <w:rPr>
          <w:rFonts w:ascii="Times" w:hAnsi="Times" w:cs="Times New Roman"/>
          <w:color w:val="000000"/>
        </w:rPr>
        <w:t>(Argopecten irradians)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The compounding negative effects of ocean acidification during an experiment may be due to a species’ decreasing ability to tolerate a specific environmental stress as their metabolic needs change throughout development.</w:t>
      </w:r>
    </w:p>
    <w:p w14:paraId="06E71E51" w14:textId="77777777" w:rsidR="00E01B09" w:rsidRPr="00E01B09" w:rsidRDefault="00E01B09" w:rsidP="00E01B09">
      <w:pPr>
        <w:pStyle w:val="Heading2"/>
      </w:pPr>
      <w:bookmarkStart w:id="21" w:name="_Toc249155361"/>
      <w:r>
        <w:t>Conclusions</w:t>
      </w:r>
      <w:bookmarkEnd w:id="21"/>
    </w:p>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A779609" w14:textId="77777777" w:rsidR="00A61FA8" w:rsidRDefault="00A61FA8"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22" w:name="_Toc249155362"/>
      <w:r>
        <w:t>Acknowledgements</w:t>
      </w:r>
      <w:bookmarkEnd w:id="22"/>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39CF34CC" w:rsidR="00A61FA8" w:rsidRDefault="00A61FA8" w:rsidP="00A61FA8">
      <w:pPr>
        <w:pStyle w:val="Heading2"/>
      </w:pPr>
      <w:bookmarkStart w:id="23" w:name="_Toc249155363"/>
      <w:r>
        <w:t>References</w:t>
      </w:r>
      <w:bookmarkEnd w:id="23"/>
    </w:p>
    <w:p w14:paraId="1A54EFA3" w14:textId="77777777" w:rsidR="00D826A9" w:rsidRPr="00D826A9" w:rsidRDefault="00D826A9" w:rsidP="00D826A9">
      <w:pPr>
        <w:ind w:left="720" w:hanging="720"/>
        <w:rPr>
          <w:rFonts w:ascii="Times" w:hAnsi="Times"/>
        </w:rPr>
      </w:pPr>
      <w:r w:rsidRPr="00D826A9">
        <w:rPr>
          <w:rFonts w:ascii="Times" w:hAnsi="Times"/>
        </w:rPr>
        <w:t>Banks SC, Ling SD, Johnson CR, Piggott MP, Williamson JE, Behergegaray LB (2010) Genetic structure of a recent climate change-driven range extension.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Il,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doi:10.1098/rspb.2010.2404.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Direct observations of basin-wide acidification of the North Pacific Ocean. Geophysical Research Letters. </w:t>
      </w:r>
      <w:r w:rsidRPr="00D826A9">
        <w:rPr>
          <w:rFonts w:ascii="Times" w:hAnsi="Times"/>
          <w:color w:val="0B0B0B"/>
        </w:rPr>
        <w:t>doi:10.1029/2009GL040999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r w:rsidRPr="00D826A9">
        <w:rPr>
          <w:rFonts w:ascii="Times" w:hAnsi="Times"/>
        </w:rPr>
        <w:t>Caldeira K, Wickett ME (2003) Anthropogenic carbon and ocean pH. Nature 425:365.</w:t>
      </w:r>
    </w:p>
    <w:p w14:paraId="64FAD4B8" w14:textId="77777777" w:rsidR="00D826A9" w:rsidRPr="00D826A9" w:rsidRDefault="00D826A9" w:rsidP="00D826A9">
      <w:pPr>
        <w:ind w:left="720" w:hanging="720"/>
        <w:rPr>
          <w:rFonts w:ascii="Times" w:hAnsi="Times"/>
        </w:rPr>
      </w:pPr>
      <w:r w:rsidRPr="00D826A9">
        <w:rPr>
          <w:rFonts w:ascii="Times" w:hAnsi="Times"/>
        </w:rPr>
        <w:t>Catarino AI, De Ridder C, Gonzalez M, Gallardo P, Dubois P (2011) Sea urchin Arbacia dufresnei (Blainville 1825) larvae response to ocean acidification. Polar Biology. doi: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Dickson AG, Sabine CL, Christian JR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r w:rsidRPr="00D826A9">
        <w:rPr>
          <w:rFonts w:ascii="Times" w:hAnsi="Times"/>
        </w:rPr>
        <w:t>FAO Fisheries and Aquaculture Department (2010) World aquaculture 2010. FAO Fisheries and Aquaculture Department.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doi:10.1371/journal.pone.0023010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I, II, and III to the Fourth Assessment Report of the Intergovernmental Panel on Climate Change.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r w:rsidRPr="00D826A9">
        <w:rPr>
          <w:rFonts w:ascii="Times" w:hAnsi="Times"/>
        </w:rPr>
        <w:t>LaBarbera M (1974) Calcification of the first larval shell of Tridacna squamosa (Tridacnidae: Bivalvia).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doi:10.1371/journal.pone.0024223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doi:10.1371/journal.pone.0005661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Narita D, Rehdanz K, Tol RSJ (2012) Economic costs of ocean acidification: a look into the impacts on global shellfish production. Climatic Change. doi:10.1007/s10584-011-0383-3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 Geochimica et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JA,Meylan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Strathmann RR (1985) Feeding and nonfeeding larval development and life-history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Thomsen J, Melzner F (2010) Moderate seawater acidification does not elicit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123F53F6" w14:textId="77777777" w:rsidR="00C02D9B" w:rsidRDefault="00C02D9B" w:rsidP="00C02D9B">
      <w:pPr>
        <w:pStyle w:val="Heading1"/>
      </w:pPr>
      <w:bookmarkStart w:id="24" w:name="_Toc249155364"/>
      <w:r>
        <w:t>Chapter II:  Shotgun proteomics as a viable approach for biological discovery in the Pacific oyster</w:t>
      </w:r>
      <w:bookmarkEnd w:id="24"/>
    </w:p>
    <w:p w14:paraId="0F4FC384" w14:textId="77777777" w:rsidR="00722A74" w:rsidRDefault="00722A74" w:rsidP="00722A74"/>
    <w:p w14:paraId="020C61B8" w14:textId="25A10817" w:rsidR="00722A74" w:rsidRPr="00722A74" w:rsidRDefault="00722A74" w:rsidP="00722A74">
      <w:r>
        <w:t>Published in Conservation Physiology as: Timmins-Schiffman, E., Nunn, B.L., Goodlett, D.R., and Robe</w:t>
      </w:r>
      <w:r w:rsidR="00326AC2">
        <w:t>rts, S.B. 2013. Shotgun proteomics as a viable approach for biological discovery in the Pacific oyster. Conserv Physiol, 1. doi 10.1093/conphys/cot009</w:t>
      </w:r>
    </w:p>
    <w:p w14:paraId="30874BC8" w14:textId="47647BF2" w:rsidR="00722A74" w:rsidRDefault="00C02D9B" w:rsidP="00722A74">
      <w:pPr>
        <w:pStyle w:val="Heading2"/>
      </w:pPr>
      <w:bookmarkStart w:id="25" w:name="_Toc249155365"/>
      <w:r>
        <w:t>Abstract</w:t>
      </w:r>
      <w:bookmarkEnd w:id="25"/>
    </w:p>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26" w:name="_Toc249155366"/>
      <w:r>
        <w:t>Introduction</w:t>
      </w:r>
      <w:bookmarkEnd w:id="26"/>
    </w:p>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 xml:space="preserve">(2012, 2013), who explored the proteomic response of coelomocytes to immune challenge in two urchin species.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27" w:name="_Toc249155367"/>
      <w:r>
        <w:t>Methods</w:t>
      </w:r>
      <w:bookmarkEnd w:id="27"/>
    </w:p>
    <w:p w14:paraId="491E47B8" w14:textId="3795C926" w:rsidR="00326AC2" w:rsidRDefault="00326AC2" w:rsidP="00326AC2">
      <w:pPr>
        <w:pStyle w:val="Heading3"/>
      </w:pPr>
      <w:bookmarkStart w:id="28" w:name="_Toc249155368"/>
      <w:r>
        <w:t>Oysters</w:t>
      </w:r>
      <w:bookmarkEnd w:id="28"/>
    </w:p>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29" w:name="_Toc249155369"/>
      <w:r>
        <w:t>Protein digestion and desalting</w:t>
      </w:r>
      <w:bookmarkEnd w:id="29"/>
    </w:p>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r w:rsidRPr="00326AC2">
        <w:rPr>
          <w:rFonts w:ascii="Times" w:hAnsi="Times" w:cs="Sabon"/>
          <w:i/>
          <w:iCs/>
          <w:color w:val="000000"/>
        </w:rPr>
        <w:t>tris</w:t>
      </w:r>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30" w:name="_Toc249155370"/>
      <w:r>
        <w:t>Liquid chromatography and tandem mass spectrometry</w:t>
      </w:r>
      <w:bookmarkEnd w:id="30"/>
    </w:p>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2 μl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nl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31" w:name="_Toc249155371"/>
      <w:r>
        <w:t>Data acquisition</w:t>
      </w:r>
      <w:bookmarkEnd w:id="31"/>
    </w:p>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32" w:name="_Toc249155372"/>
      <w:r>
        <w:t>Protein identification and data analysis</w:t>
      </w:r>
      <w:bookmarkEnd w:id="32"/>
    </w:p>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A DECOY database was created by reversing the </w:t>
      </w:r>
      <w:r w:rsidRPr="00326AC2">
        <w:rPr>
          <w:rFonts w:ascii="Times" w:hAnsi="Times" w:cs="Sabon"/>
          <w:i/>
          <w:iCs/>
          <w:color w:val="000000"/>
        </w:rPr>
        <w:t xml:space="preserve">C. gigas </w:t>
      </w:r>
      <w:r w:rsidRPr="00326AC2">
        <w:rPr>
          <w:rFonts w:ascii="Times" w:hAnsi="Times" w:cs="Sabon"/>
          <w:color w:val="000000"/>
        </w:rPr>
        <w:t xml:space="preserve">proteome and adding it to the forward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2006) was used to calculate expression for each protein in each oyster. Technical replicates were pooled by taking the sum of total independent tandem mass spectra for each protein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33" w:name="_Toc249155373"/>
      <w:r>
        <w:t>Results</w:t>
      </w:r>
      <w:bookmarkEnd w:id="33"/>
    </w:p>
    <w:p w14:paraId="3EA07912" w14:textId="39828B21" w:rsidR="00326AC2" w:rsidRDefault="00326AC2" w:rsidP="00426D9F">
      <w:pPr>
        <w:spacing w:line="360" w:lineRule="auto"/>
        <w:ind w:firstLine="720"/>
        <w:rPr>
          <w:rFonts w:ascii="Times" w:hAnsi="Times" w:cs="Sabon"/>
          <w:color w:val="000000"/>
        </w:rPr>
      </w:pPr>
      <w:r w:rsidRPr="00326AC2">
        <w:rPr>
          <w:rFonts w:ascii="Times" w:hAnsi="Times" w:cs="Sabon"/>
          <w:color w:val="000000"/>
        </w:rPr>
        <w:t>A combined total of 175 818 tandem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3FFC0F12" w14:textId="77777777" w:rsidR="002214CA" w:rsidRDefault="002214CA" w:rsidP="002214CA">
      <w:pPr>
        <w:rPr>
          <w:rFonts w:ascii="Times" w:hAnsi="Times" w:cs="Sabon"/>
          <w:color w:val="000000"/>
        </w:rPr>
      </w:pPr>
    </w:p>
    <w:p w14:paraId="43DB01A0" w14:textId="666829FC"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4075940B" w14:textId="6F27C029"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6303C5C6" wp14:editId="5B82B239">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25F115C1" w14:textId="77777777" w:rsidR="002214CA" w:rsidRPr="00326AC2" w:rsidRDefault="002214CA" w:rsidP="002214CA">
      <w:pPr>
        <w:rPr>
          <w:rFonts w:ascii="Times" w:hAnsi="Times" w:cs="Sabon"/>
          <w:color w:val="000000"/>
        </w:rPr>
      </w:pP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2CDC6694" w14:textId="338F7500" w:rsidR="002214CA" w:rsidRDefault="002214CA" w:rsidP="002214CA">
      <w:pPr>
        <w:pStyle w:val="Default"/>
      </w:pPr>
      <w:r>
        <w:rPr>
          <w:noProof/>
          <w:lang w:eastAsia="en-US"/>
        </w:rPr>
        <w:drawing>
          <wp:inline distT="0" distB="0" distL="0" distR="0" wp14:anchorId="21884D5B" wp14:editId="7888E6E3">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6">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70E7B71" w14:textId="451F8E00" w:rsidR="002214CA" w:rsidRDefault="002214CA" w:rsidP="002214CA">
      <w:pPr>
        <w:pStyle w:val="Default"/>
      </w:pPr>
      <w:r>
        <w:t xml:space="preserve">Figure </w:t>
      </w:r>
      <w:r w:rsidR="00426D9F">
        <w:t>II.</w:t>
      </w:r>
      <w:r>
        <w:t>1. Total independent spectral counts for three technical replicates for oyster A plotted for each protein (n = 1500).  Similar patterns were observed for the other three oysters (data not shown).</w:t>
      </w:r>
    </w:p>
    <w:p w14:paraId="41A263F6" w14:textId="77777777" w:rsidR="002214CA" w:rsidRPr="002214CA" w:rsidRDefault="002214CA" w:rsidP="002214CA">
      <w:pPr>
        <w:pStyle w:val="Default"/>
      </w:pPr>
    </w:p>
    <w:p w14:paraId="15CD75BB" w14:textId="6BD0677D"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22D9FBFA" w14:textId="2BFE546D" w:rsidR="002214CA" w:rsidRDefault="00941786" w:rsidP="002214CA">
      <w:pPr>
        <w:pStyle w:val="Default"/>
      </w:pPr>
      <w:r>
        <w:rPr>
          <w:noProof/>
          <w:lang w:eastAsia="en-US"/>
        </w:rPr>
        <w:drawing>
          <wp:inline distT="0" distB="0" distL="0" distR="0" wp14:anchorId="56F9B190" wp14:editId="19ACD4E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7">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3AD0664C" w14:textId="66976D97" w:rsidR="0070002F" w:rsidRDefault="0070002F" w:rsidP="002214CA">
      <w:pPr>
        <w:pStyle w:val="Default"/>
      </w:pPr>
      <w:r>
        <w:t xml:space="preserve">Figure </w:t>
      </w:r>
      <w:r w:rsidR="00426D9F">
        <w:t>II.</w:t>
      </w:r>
      <w:r>
        <w:t>2.  Venn diagram of proteins identified among biological samples.  Proteins identified in oyster A are in the blue ellipse, B in the yellow, C in green, and oyster D proteins are in the red ellipse.</w:t>
      </w:r>
    </w:p>
    <w:p w14:paraId="2F30379B" w14:textId="77777777" w:rsidR="0070002F" w:rsidRPr="002214CA" w:rsidRDefault="0070002F" w:rsidP="002214CA">
      <w:pPr>
        <w:pStyle w:val="Default"/>
      </w:pPr>
    </w:p>
    <w:p w14:paraId="062A47E6" w14:textId="351F14EE"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7BE1CCEB" w14:textId="77777777" w:rsidR="0070002F" w:rsidRDefault="0070002F" w:rsidP="0070002F">
      <w:pPr>
        <w:pStyle w:val="Default"/>
      </w:pPr>
    </w:p>
    <w:p w14:paraId="207F5BBE" w14:textId="5A5420A8" w:rsidR="0070002F" w:rsidRDefault="0070002F" w:rsidP="0070002F">
      <w:pPr>
        <w:pStyle w:val="Default"/>
      </w:pPr>
      <w:r>
        <w:t xml:space="preserve">Table </w:t>
      </w:r>
      <w:r w:rsidR="00426D9F">
        <w:t>II.</w:t>
      </w:r>
      <w:r>
        <w:t>2. The 12 most abundant proteins in the gill proteome as determined by identifying the 10 most abundant proteins in each oyster.</w:t>
      </w:r>
    </w:p>
    <w:p w14:paraId="50EF51FA" w14:textId="394361EE" w:rsidR="0070002F" w:rsidRDefault="0070002F" w:rsidP="0070002F">
      <w:pPr>
        <w:pStyle w:val="Default"/>
      </w:pPr>
      <w:r>
        <w:rPr>
          <w:noProof/>
          <w:lang w:eastAsia="en-US"/>
        </w:rPr>
        <w:drawing>
          <wp:inline distT="0" distB="0" distL="0" distR="0" wp14:anchorId="6910C4E5" wp14:editId="074B33D7">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6BE0FD0F" w14:textId="77777777" w:rsidR="0070002F" w:rsidRPr="0070002F" w:rsidRDefault="0070002F" w:rsidP="0070002F">
      <w:pPr>
        <w:pStyle w:val="Default"/>
      </w:pPr>
    </w:p>
    <w:p w14:paraId="1F15088A" w14:textId="0472C54F"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6B107B45" w14:textId="68698054" w:rsidR="0070002F" w:rsidRDefault="0070002F" w:rsidP="0070002F">
      <w:pPr>
        <w:pStyle w:val="Default"/>
      </w:pPr>
      <w:r>
        <w:rPr>
          <w:noProof/>
          <w:lang w:eastAsia="en-US"/>
        </w:rPr>
        <w:drawing>
          <wp:inline distT="0" distB="0" distL="0" distR="0" wp14:anchorId="326CF7D9" wp14:editId="132280BB">
            <wp:extent cx="5080635" cy="3925731"/>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19">
                      <a:extLst>
                        <a:ext uri="{28A0092B-C50C-407E-A947-70E740481C1C}">
                          <a14:useLocalDpi xmlns:a14="http://schemas.microsoft.com/office/drawing/2010/main" val="0"/>
                        </a:ext>
                      </a:extLst>
                    </a:blip>
                    <a:stretch>
                      <a:fillRect/>
                    </a:stretch>
                  </pic:blipFill>
                  <pic:spPr>
                    <a:xfrm>
                      <a:off x="0" y="0"/>
                      <a:ext cx="5080635" cy="3925731"/>
                    </a:xfrm>
                    <a:prstGeom prst="rect">
                      <a:avLst/>
                    </a:prstGeom>
                  </pic:spPr>
                </pic:pic>
              </a:graphicData>
            </a:graphic>
          </wp:inline>
        </w:drawing>
      </w:r>
    </w:p>
    <w:p w14:paraId="2DB145EC" w14:textId="6875AEF6" w:rsidR="0070002F" w:rsidRDefault="0070002F" w:rsidP="0070002F">
      <w:pPr>
        <w:pStyle w:val="Default"/>
      </w:pPr>
      <w:r>
        <w:t xml:space="preserve">Figure </w:t>
      </w:r>
      <w:r w:rsidR="00426D9F">
        <w:t>II.</w:t>
      </w:r>
      <w:r>
        <w:t>3. Representation of biological processes corresponding to the proteins identified from oyster gill tissue.</w:t>
      </w:r>
    </w:p>
    <w:p w14:paraId="04D44D39" w14:textId="77777777" w:rsidR="0070002F" w:rsidRPr="0070002F" w:rsidRDefault="0070002F" w:rsidP="0070002F">
      <w:pPr>
        <w:pStyle w:val="Default"/>
      </w:pP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2905ABD7" w14:textId="49471EB4"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4). The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13D0B484" w14:textId="39AADC97" w:rsidR="0070002F" w:rsidRDefault="0070002F" w:rsidP="0070002F">
      <w:pPr>
        <w:rPr>
          <w:rFonts w:ascii="Times" w:hAnsi="Times"/>
        </w:rPr>
      </w:pPr>
      <w:r>
        <w:rPr>
          <w:rFonts w:ascii="Times" w:hAnsi="Times"/>
          <w:noProof/>
          <w:lang w:eastAsia="en-US"/>
        </w:rPr>
        <w:drawing>
          <wp:inline distT="0" distB="0" distL="0" distR="0" wp14:anchorId="6ADD4D4B" wp14:editId="069C76B8">
            <wp:extent cx="4280535" cy="4280535"/>
            <wp:effectExtent l="0" t="0" r="1206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3B8312A3" w14:textId="05C5FCB8"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17F4B4A" w14:textId="77777777" w:rsidR="00C02D9B" w:rsidRDefault="00C02D9B" w:rsidP="00C02D9B">
      <w:pPr>
        <w:pStyle w:val="Heading2"/>
      </w:pPr>
      <w:bookmarkStart w:id="34" w:name="_Toc249155374"/>
      <w:r>
        <w:t>Discussion</w:t>
      </w:r>
      <w:bookmarkEnd w:id="34"/>
    </w:p>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Pr="00173404"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76C5CA6D" w14:textId="1CF3AB24" w:rsidR="00173404" w:rsidRDefault="00173404" w:rsidP="00173404">
      <w:pPr>
        <w:pStyle w:val="Heading2"/>
      </w:pPr>
      <w:bookmarkStart w:id="35" w:name="_Toc249155375"/>
      <w:r>
        <w:t>Acknowledgements</w:t>
      </w:r>
      <w:bookmarkEnd w:id="35"/>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2E9136FA" w:rsidR="00173404" w:rsidRDefault="00173404" w:rsidP="00173404">
      <w:pPr>
        <w:pStyle w:val="Heading2"/>
      </w:pPr>
      <w:bookmarkStart w:id="36" w:name="_Toc249155376"/>
      <w:r>
        <w:t>References</w:t>
      </w:r>
      <w:bookmarkEnd w:id="36"/>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Amaral V, Thompson EL, Bishop MJ, Raftos DA. (2012) The proteomes of Sydney rock oysters vary spatially according to exposure to acid sulfate runoff. Marine &amp; Freshwater Research. 63: 361-369.</w:t>
      </w:r>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Journal of Biotechnology Biotechnol. 136: 44-53.</w:t>
      </w:r>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Journal of Proteomics. 75: 5554-5563.</w:t>
      </w:r>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to hypoxia exposure under experimental conditions. The FEBS Journal. 272: 5635-5652.</w:t>
      </w:r>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Aquatic Toxicology. 84: 389-398.</w:t>
      </w:r>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Developmental &amp; Comparative Immunology. 37: 243-256.</w:t>
      </w:r>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31,918-feature microarray: identification of reference genes and tissue-enriched expression patterns. BMC Genomics. 12: 468.</w:t>
      </w:r>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(2013) Shotgun proteomics of coelomic fluid from the purple sea urchin, </w:t>
      </w:r>
      <w:r w:rsidRPr="00732DA8">
        <w:rPr>
          <w:rFonts w:ascii="Times" w:hAnsi="Times"/>
          <w:i/>
          <w:sz w:val="24"/>
        </w:rPr>
        <w:t>Strongylocentrotus purpuratus</w:t>
      </w:r>
      <w:r w:rsidRPr="00732DA8">
        <w:rPr>
          <w:rFonts w:ascii="Times" w:hAnsi="Times"/>
          <w:sz w:val="24"/>
        </w:rPr>
        <w:t>. Developmental &amp; Comparative Immunology. In press.</w:t>
      </w:r>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Marine Biology. In press.</w:t>
      </w:r>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Marine Pollution Bulletin. 64: 2160-2167.</w:t>
      </w:r>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Journal of the American Society for Mass Spectrometry. 5: 976-989.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14: 203-217.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Florens L, Carozza MJ, Swanson SK, Fournier M, Coleman MK, Workman JL, Washburn MP. (2006) Analyzing Chromatin Remodeling Complexes Using Shotgun Proteomics and Normalized Spectral Abundance Factors. Methods. 4: 303-311.</w:t>
      </w:r>
    </w:p>
    <w:p w14:paraId="6C231A4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Griffitt RJ, Chandler GT, Greig TW, Quattro JM.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Environmental Science &amp; Technology. 40: 3640-3645.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Application of genomics and proteomics for study of the integrated response to zinc exposure in a non-model fish species, the rainbow trout. Comparative Biochemistry and Physiology Part B: Biochemistry and Molecular Biology. 133: 523-535.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Journal of Proteomics. 75: 3855-3865. </w:t>
      </w:r>
    </w:p>
    <w:p w14:paraId="7B6BFBE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w:t>
      </w:r>
      <w:r w:rsidRPr="00732DA8">
        <w:rPr>
          <w:rFonts w:ascii="Times" w:hAnsi="Times"/>
          <w:i/>
          <w:sz w:val="24"/>
        </w:rPr>
        <w:t>.</w:t>
      </w:r>
      <w:r w:rsidRPr="00732DA8">
        <w:rPr>
          <w:rFonts w:ascii="Times" w:hAnsi="Times"/>
          <w:sz w:val="24"/>
        </w:rPr>
        <w:t xml:space="preserve"> (2009b) Bioinformatics enrichment tools: paths toward the comprehensive functional analysis of large gene lists. Nucleic Acids Research. 37: 1-13.</w:t>
      </w:r>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(1996) Differences in protein patterns of gill epithelial cells of the fish </w:t>
      </w:r>
      <w:r w:rsidRPr="00732DA8">
        <w:rPr>
          <w:rFonts w:ascii="Times" w:hAnsi="Times"/>
          <w:i/>
          <w:sz w:val="24"/>
        </w:rPr>
        <w:t xml:space="preserve">Gillichthys mirabilis </w:t>
      </w:r>
      <w:r w:rsidRPr="00732DA8">
        <w:rPr>
          <w:rFonts w:ascii="Times" w:hAnsi="Times"/>
          <w:sz w:val="24"/>
        </w:rPr>
        <w:t xml:space="preserve">after osmotic and thermal acclimation. Journal of Comparative Physiology B: Biochemical, Systemic, and Environmental Physiology. 166: 88-100.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Liu F, Wang W (2012) Proteome pattern in oysters as a diagnostic tool for metal pollution. Journal of Hazardous Materials. 239-240: 241-248.</w:t>
      </w:r>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The Journal of Experimental Biology. 213: 3548-3558.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exposed to prolonged thermal stress. The FEBS Journal. 274: 6392-6402.</w:t>
      </w:r>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4: 673-685.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12: 906-921. </w:t>
      </w:r>
    </w:p>
    <w:p w14:paraId="300453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 Analytical Chemistry. 75: 4646-4658.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1">
        <w:r w:rsidRPr="00732DA8">
          <w:rPr>
            <w:rFonts w:ascii="Times" w:hAnsi="Times"/>
            <w:color w:val="auto"/>
            <w:sz w:val="24"/>
          </w:rPr>
          <w:t xml:space="preserve"> </w:t>
        </w:r>
      </w:hyperlink>
      <w:hyperlink r:id="rId22">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21: 3516-3530.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Sequencing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R Development Core Team (2009) R: A language and environment for statistical computing.  R Foundation for Statistical Computing, Vienna, Austria. ISBN 3-900051-07-0, URL</w:t>
      </w:r>
      <w:hyperlink r:id="rId23">
        <w:r w:rsidRPr="00732DA8">
          <w:rPr>
            <w:rFonts w:ascii="Times" w:hAnsi="Times"/>
            <w:sz w:val="24"/>
          </w:rPr>
          <w:t xml:space="preserve"> </w:t>
        </w:r>
      </w:hyperlink>
      <w:hyperlink r:id="rId24">
        <w:r w:rsidRPr="00732DA8">
          <w:rPr>
            <w:rFonts w:ascii="Times" w:hAnsi="Times"/>
            <w:color w:val="auto"/>
            <w:sz w:val="24"/>
          </w:rPr>
          <w:t>http://www.R-project.org</w:t>
        </w:r>
      </w:hyperlink>
      <w:r w:rsidRPr="00732DA8">
        <w:rPr>
          <w:rFonts w:ascii="Times" w:hAnsi="Times"/>
          <w:color w:val="auto"/>
          <w:sz w:val="24"/>
        </w:rPr>
        <w:t>.</w:t>
      </w:r>
    </w:p>
    <w:p w14:paraId="432CE21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 xml:space="preserve">Simonian M, Nair SV, Neil JA, Raftos DA.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Journal of Proteomics. 73: 209-217.</w:t>
      </w:r>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160: 320-330.</w:t>
      </w:r>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in response to pesticide exposure. The FEBS Journal. 272: 390-403.</w:t>
      </w:r>
    </w:p>
    <w:p w14:paraId="3D844EB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Haynes PA, Raftos DA. (2011) A proteomic analysis of the effects of metal contamination on Sydney Rock Oyster (</w:t>
      </w:r>
      <w:r w:rsidRPr="00732DA8">
        <w:rPr>
          <w:rFonts w:ascii="Times" w:hAnsi="Times"/>
          <w:i/>
          <w:sz w:val="24"/>
        </w:rPr>
        <w:t>Saccostrea glomerata</w:t>
      </w:r>
      <w:r w:rsidRPr="00732DA8">
        <w:rPr>
          <w:rFonts w:ascii="Times" w:hAnsi="Times"/>
          <w:sz w:val="24"/>
        </w:rPr>
        <w:t>) haemolymph. Aquatic Toxicology. 103: 241-249.</w:t>
      </w:r>
    </w:p>
    <w:p w14:paraId="17CCFDA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Hose GC, Raftos DA. (2012a) Proteomic analysis of Sydney Rock oysters (</w:t>
      </w:r>
      <w:r w:rsidRPr="00732DA8">
        <w:rPr>
          <w:rFonts w:ascii="Times" w:hAnsi="Times"/>
          <w:i/>
          <w:sz w:val="24"/>
        </w:rPr>
        <w:t>Saccostrea glomerata</w:t>
      </w:r>
      <w:r w:rsidRPr="00732DA8">
        <w:rPr>
          <w:rFonts w:ascii="Times" w:hAnsi="Times"/>
          <w:sz w:val="24"/>
        </w:rPr>
        <w:t>) exposed to metal contamination in the field. Environmental Pollution. 170: 102-112.</w:t>
      </w:r>
    </w:p>
    <w:p w14:paraId="2E2BBF78" w14:textId="77777777" w:rsidR="00732DA8" w:rsidRPr="00732DA8" w:rsidRDefault="00732DA8" w:rsidP="00732DA8">
      <w:pPr>
        <w:pStyle w:val="normal0"/>
        <w:spacing w:line="240" w:lineRule="auto"/>
        <w:rPr>
          <w:rFonts w:ascii="Times" w:hAnsi="Times"/>
          <w:sz w:val="24"/>
        </w:rPr>
      </w:pPr>
      <w:r w:rsidRPr="00732DA8">
        <w:rPr>
          <w:rFonts w:ascii="Times" w:hAnsi="Times"/>
          <w:sz w:val="24"/>
        </w:rPr>
        <w:t>Thompson EL, Taylor DA, Nair SV, Birch G, Haynes PA, Raftos DA</w:t>
      </w:r>
      <w:r w:rsidRPr="00732DA8">
        <w:rPr>
          <w:rFonts w:ascii="Times" w:hAnsi="Times"/>
          <w:i/>
          <w:sz w:val="24"/>
        </w:rPr>
        <w:t>.</w:t>
      </w:r>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Aquatic Toxicology. 109: 202-212.</w:t>
      </w:r>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 xml:space="preserve">-driven seawater acidification. Journal of Experimental Biology. 212: 2579-2594.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Journal of Experimental Biology. 214: 1836-1844.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challenge. Fish &amp; Shellfish Immunology. 29: 921-929.</w:t>
      </w:r>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Annual Review of Biomedical Engineering. 11: 49-79. </w:t>
      </w:r>
    </w:p>
    <w:p w14:paraId="32A5686B" w14:textId="56B5F4E4" w:rsidR="00732DA8" w:rsidRPr="00732DA8" w:rsidRDefault="00732DA8" w:rsidP="00732DA8">
      <w:pPr>
        <w:rPr>
          <w:rFonts w:ascii="Times" w:hAnsi="Times"/>
        </w:rPr>
      </w:pPr>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 Nature. 490: 49-54.</w:t>
      </w:r>
    </w:p>
    <w:p w14:paraId="18732FEF" w14:textId="4A6CECDA" w:rsidR="00C02D9B" w:rsidRDefault="00C02D9B" w:rsidP="00C02D9B">
      <w:pPr>
        <w:pStyle w:val="Heading1"/>
      </w:pPr>
      <w:bookmarkStart w:id="37" w:name="_Toc249155377"/>
      <w:r>
        <w:t xml:space="preserve">Chapter III:  </w:t>
      </w:r>
      <w:r w:rsidR="00426D9F">
        <w:t>From shell deposition to protein expression: An integrative assessment of ocean acidification impacts on a marine invertebrate</w:t>
      </w:r>
      <w:bookmarkEnd w:id="37"/>
    </w:p>
    <w:p w14:paraId="1D80C13F" w14:textId="77777777" w:rsidR="00732DA8" w:rsidRDefault="00732DA8" w:rsidP="00732DA8"/>
    <w:p w14:paraId="6F824F5F" w14:textId="302DE186" w:rsidR="00732DA8" w:rsidRPr="00FA07E7" w:rsidRDefault="00732DA8" w:rsidP="00732DA8">
      <w:pPr>
        <w:rPr>
          <w:rFonts w:ascii="Times" w:hAnsi="Times"/>
        </w:rPr>
      </w:pPr>
      <w:r w:rsidRPr="00FA07E7">
        <w:rPr>
          <w:rFonts w:ascii="Times" w:hAnsi="Times"/>
        </w:rPr>
        <w:t>Submitted to Journal of Experimental Biology</w:t>
      </w:r>
    </w:p>
    <w:p w14:paraId="752BE645" w14:textId="68C5A7EE"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160291F2" w14:textId="77777777" w:rsidR="00C02D9B" w:rsidRDefault="00C02D9B" w:rsidP="00C02D9B">
      <w:pPr>
        <w:pStyle w:val="Heading2"/>
      </w:pPr>
      <w:bookmarkStart w:id="38" w:name="_Toc249155378"/>
      <w:r>
        <w:t>Abstract</w:t>
      </w:r>
      <w:bookmarkEnd w:id="38"/>
    </w:p>
    <w:p w14:paraId="264CC5CB" w14:textId="77777777" w:rsidR="00426D9F" w:rsidRPr="00426D9F" w:rsidRDefault="00426D9F" w:rsidP="00426D9F">
      <w:pPr>
        <w:pStyle w:val="normal0"/>
        <w:spacing w:line="360" w:lineRule="auto"/>
        <w:rPr>
          <w:rFonts w:ascii="Times" w:hAnsi="Times"/>
          <w:sz w:val="24"/>
        </w:rPr>
      </w:pPr>
      <w:r w:rsidRPr="00426D9F">
        <w:rPr>
          <w:rFonts w:ascii="Times" w:hAnsi="Times"/>
          <w:sz w:val="24"/>
        </w:rPr>
        <w:t>Ocean acidification as a result of increased anthropogenic CO</w:t>
      </w:r>
      <w:r w:rsidRPr="00426D9F">
        <w:rPr>
          <w:rFonts w:ascii="Times" w:hAnsi="Times"/>
          <w:sz w:val="24"/>
          <w:vertAlign w:val="subscript"/>
        </w:rPr>
        <w:t>2</w:t>
      </w:r>
      <w:r w:rsidRPr="00426D9F">
        <w:rPr>
          <w:rFonts w:ascii="Times" w:hAnsi="Times"/>
          <w:sz w:val="24"/>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426D9F">
        <w:rPr>
          <w:rFonts w:ascii="Times" w:hAnsi="Times"/>
          <w:i/>
          <w:sz w:val="24"/>
        </w:rPr>
        <w:t>Crassostrea gigas</w:t>
      </w:r>
      <w:r w:rsidRPr="00426D9F">
        <w:rPr>
          <w:rFonts w:ascii="Times" w:hAnsi="Times"/>
          <w:sz w:val="24"/>
        </w:rPr>
        <w:t xml:space="preserve">) were exposed to one of four different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four weeks: 400 µatm (pH 8.0), 800 µatm (pH 7.7), 1000 µatm (pH 7.6), or 2800 µatm (pH 7.3).  Oysters in all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environments deposited new shell during the experiment, but growth rate was not different among the treatments.  However, micromechanical properties of the new shell were compromised by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affected neither whole body fatty acid composition nor mortality rate associated with acute heat shock.  Shotgun proteomics revealed that several physiological pathways were significantly affected by ocean acidification, including antioxidant response, carbohydrate metabolism, and cell growth. Additionally, the proteomic response to a second stress differed with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with numerous processes significantly affected by mechanical stimulation at high versus low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These data contribute to an integrative view of the effects of ocean acidification on oysters as well as physiological trade-offs during environmental stress.</w:t>
      </w:r>
    </w:p>
    <w:p w14:paraId="0D41F7DB" w14:textId="77777777" w:rsidR="00732DA8" w:rsidRPr="00732DA8" w:rsidRDefault="00732DA8" w:rsidP="00732DA8"/>
    <w:p w14:paraId="7BA5AFE3" w14:textId="77777777" w:rsidR="00C02D9B" w:rsidRDefault="00C02D9B" w:rsidP="00C02D9B">
      <w:pPr>
        <w:pStyle w:val="Heading2"/>
      </w:pPr>
      <w:bookmarkStart w:id="39" w:name="_Toc249155379"/>
      <w:r>
        <w:t>Introduction</w:t>
      </w:r>
      <w:bookmarkEnd w:id="39"/>
    </w:p>
    <w:p w14:paraId="5B8144A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Current measurements of surface ocean pH have revealed decreases that are in accordance with modeled predictions of a pH decline of at least 0.3 units corresponding to atmospheric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of 650-970 ppm by the year 2100 </w:t>
      </w:r>
      <w:r w:rsidRPr="00426D9F">
        <w:rPr>
          <w:rFonts w:ascii="Times" w:hAnsi="Times"/>
          <w:sz w:val="24"/>
        </w:rPr>
        <w:fldChar w:fldCharType="begin" w:fldLock="1"/>
      </w:r>
      <w:r w:rsidRPr="00426D9F">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"n/a-n/a",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2005; Feely et al., 2010, 2012; \u201cfriedrich 2012,\u201d n.d.; Friedrich et al., 2012; Gruber et al., 2012; Orr et al., 2005)"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(Caldeira and Wickett, 2005; Feely et al., 2010, 2012; Friedrich et al., 2012; Gruber et al., 2012; Orr et al., 2005)</w:t>
      </w:r>
      <w:r w:rsidRPr="00426D9F">
        <w:rPr>
          <w:rFonts w:ascii="Times" w:hAnsi="Times"/>
          <w:sz w:val="24"/>
        </w:rPr>
        <w:fldChar w:fldCharType="end"/>
      </w:r>
      <w:r w:rsidRPr="00426D9F">
        <w:rPr>
          <w:rFonts w:ascii="Times" w:hAnsi="Times"/>
          <w:sz w:val="24"/>
        </w:rPr>
        <w:t xml:space="preserve">.  The coastal ocean, home to productive fisheries and diverse ecosystems, may see even greater changes in pH due to a plethora of anthropogenic effects (i.e. deforestation, agriculture, mining, increasing population sizes) (reviewed in </w:t>
      </w:r>
      <w:r w:rsidRPr="00426D9F">
        <w:rPr>
          <w:rFonts w:ascii="Times" w:hAnsi="Times"/>
          <w:sz w:val="24"/>
        </w:rPr>
        <w:fldChar w:fldCharType="begin" w:fldLock="1"/>
      </w:r>
      <w:r w:rsidRPr="00426D9F">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Duarte et al., 2013)</w:t>
      </w:r>
      <w:r w:rsidRPr="00426D9F">
        <w:rPr>
          <w:rFonts w:ascii="Times" w:hAnsi="Times"/>
          <w:sz w:val="24"/>
        </w:rPr>
        <w:fldChar w:fldCharType="end"/>
      </w:r>
      <w:r w:rsidRPr="00426D9F">
        <w:rPr>
          <w:rFonts w:ascii="Times" w:hAnsi="Times"/>
          <w:sz w:val="24"/>
        </w:rPr>
        <w:t xml:space="preserve">.  Although some species that live in the coastal ocean show a degree of adaptation to variable pH (see </w:t>
      </w:r>
      <w:r w:rsidRPr="00426D9F">
        <w:rPr>
          <w:rFonts w:ascii="Times" w:hAnsi="Times"/>
          <w:sz w:val="24"/>
        </w:rPr>
        <w:fldChar w:fldCharType="begin" w:fldLock="1"/>
      </w:r>
      <w:r w:rsidRPr="00426D9F">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Kelly et al., 2013; Pespeni et al., 2013)</w:t>
      </w:r>
      <w:r w:rsidRPr="00426D9F">
        <w:rPr>
          <w:rFonts w:ascii="Times" w:hAnsi="Times"/>
          <w:sz w:val="24"/>
        </w:rPr>
        <w:fldChar w:fldCharType="end"/>
      </w:r>
      <w:r w:rsidRPr="00426D9F">
        <w:rPr>
          <w:rFonts w:ascii="Times" w:hAnsi="Times"/>
          <w:sz w:val="24"/>
        </w:rPr>
        <w:t xml:space="preserve">, sessile invertebrates are sensitive to acute low pH exposures across life stages.  In bivalves, low pH results in significant changes to larval development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Barton et al., 2012)</w:t>
      </w:r>
      <w:r w:rsidRPr="00426D9F">
        <w:rPr>
          <w:rFonts w:ascii="Times" w:hAnsi="Times"/>
          <w:sz w:val="24"/>
        </w:rPr>
        <w:fldChar w:fldCharType="end"/>
      </w:r>
      <w:r w:rsidRPr="00426D9F">
        <w:rPr>
          <w:rFonts w:ascii="Times" w:hAnsi="Times"/>
          <w:sz w:val="24"/>
        </w:rPr>
        <w:t xml:space="preserve">, reduced shell deposition in most species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Gazeau et al., 2007; Melzner et al., 2011)</w:t>
      </w:r>
      <w:r w:rsidRPr="00426D9F">
        <w:rPr>
          <w:rFonts w:ascii="Times" w:hAnsi="Times"/>
          <w:sz w:val="24"/>
        </w:rPr>
        <w:fldChar w:fldCharType="end"/>
      </w:r>
      <w:r w:rsidRPr="00426D9F">
        <w:rPr>
          <w:rFonts w:ascii="Times" w:hAnsi="Times"/>
          <w:sz w:val="24"/>
        </w:rPr>
        <w:t xml:space="preserve">, and decreased integrity of the shell </w:t>
      </w:r>
      <w:r w:rsidRPr="00426D9F">
        <w:rPr>
          <w:rFonts w:ascii="Times" w:hAnsi="Times"/>
          <w:sz w:val="24"/>
        </w:rPr>
        <w:fldChar w:fldCharType="begin" w:fldLock="1"/>
      </w:r>
      <w:r w:rsidRPr="00426D9F">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(Dickinson et al., 2012; Dickinson et al., 2013)</w:t>
      </w:r>
      <w:r w:rsidRPr="00426D9F">
        <w:rPr>
          <w:rFonts w:ascii="Times" w:hAnsi="Times"/>
          <w:sz w:val="24"/>
        </w:rPr>
        <w:fldChar w:fldCharType="end"/>
      </w:r>
      <w:r w:rsidRPr="00426D9F">
        <w:rPr>
          <w:rFonts w:ascii="Times" w:hAnsi="Times"/>
          <w:sz w:val="24"/>
        </w:rPr>
        <w:t xml:space="preserve"> and byssal threads </w:t>
      </w:r>
      <w:r w:rsidRPr="00426D9F">
        <w:rPr>
          <w:rFonts w:ascii="Times" w:hAnsi="Times"/>
          <w:sz w:val="24"/>
        </w:rPr>
        <w:fldChar w:fldCharType="begin" w:fldLock="1"/>
      </w:r>
      <w:r w:rsidRPr="00426D9F">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w:t>
      </w:r>
      <w:r w:rsidRPr="00426D9F">
        <w:rPr>
          <w:rFonts w:ascii="Times" w:hAnsi="Times"/>
          <w:sz w:val="24"/>
        </w:rPr>
        <w:fldChar w:fldCharType="end"/>
      </w:r>
      <w:r w:rsidRPr="00426D9F">
        <w:rPr>
          <w:rFonts w:ascii="Times" w:hAnsi="Times"/>
          <w:sz w:val="24"/>
        </w:rPr>
        <w:t xml:space="preserve">.  In addition to phenotypic impacts,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can result in significant shifts in marine invertebrate metabolism and resource utilization (e.g.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Stumpp et al., 2011)</w:t>
      </w:r>
      <w:r w:rsidRPr="00426D9F">
        <w:rPr>
          <w:rFonts w:ascii="Times" w:hAnsi="Times"/>
          <w:sz w:val="24"/>
        </w:rPr>
        <w:fldChar w:fldCharType="end"/>
      </w:r>
      <w:r w:rsidRPr="00426D9F">
        <w:rPr>
          <w:rFonts w:ascii="Times" w:hAnsi="Times"/>
          <w:sz w:val="24"/>
        </w:rPr>
        <w:t>.</w:t>
      </w:r>
    </w:p>
    <w:p w14:paraId="093334D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Pacific oyster, </w:t>
      </w:r>
      <w:r w:rsidRPr="00426D9F">
        <w:rPr>
          <w:rFonts w:ascii="Times" w:hAnsi="Times"/>
          <w:i/>
          <w:sz w:val="24"/>
        </w:rPr>
        <w:t>Crassostrea gigas</w:t>
      </w:r>
      <w:r w:rsidRPr="00426D9F">
        <w:rPr>
          <w:rFonts w:ascii="Times" w:hAnsi="Times"/>
          <w:sz w:val="24"/>
        </w:rPr>
        <w:t xml:space="preserve">, is a marine invertebrate that has been well studied in terms of its response to ocean acidification.  Larvae experience developmental delay and shell malformations in response to low pH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2012)",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(Barton et al., 2012; Gazeau et al., 2011; Kurihara et al., 2007; Parker et al., 2010; Timmins-Schiffman et al., 2013a)</w:t>
      </w:r>
      <w:r w:rsidRPr="00426D9F">
        <w:rPr>
          <w:rFonts w:ascii="Times" w:hAnsi="Times"/>
          <w:sz w:val="24"/>
        </w:rPr>
        <w:fldChar w:fldCharType="end"/>
      </w:r>
      <w:r w:rsidRPr="00426D9F">
        <w:rPr>
          <w:rFonts w:ascii="Times" w:hAnsi="Times"/>
          <w:sz w:val="24"/>
        </w:rPr>
        <w:t xml:space="preserve">.  Adults are also affected negatively by ocean acidification.  Fertilization success is reduced at moderately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(600 µatm)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(Parker et al., 2010)</w:t>
      </w:r>
      <w:r w:rsidRPr="00426D9F">
        <w:rPr>
          <w:rFonts w:ascii="Times" w:hAnsi="Times"/>
          <w:sz w:val="24"/>
        </w:rPr>
        <w:fldChar w:fldCharType="end"/>
      </w:r>
      <w:r w:rsidRPr="00426D9F">
        <w:rPr>
          <w:rFonts w:ascii="Times" w:hAnsi="Times"/>
          <w:sz w:val="24"/>
        </w:rPr>
        <w:t xml:space="preserve">.  Calcification rates for adult </w:t>
      </w:r>
      <w:r w:rsidRPr="00426D9F">
        <w:rPr>
          <w:rFonts w:ascii="Times" w:hAnsi="Times"/>
          <w:i/>
          <w:sz w:val="24"/>
        </w:rPr>
        <w:t>C. gigas</w:t>
      </w:r>
      <w:r w:rsidRPr="00426D9F">
        <w:rPr>
          <w:rFonts w:ascii="Times" w:hAnsi="Times"/>
          <w:sz w:val="24"/>
        </w:rPr>
        <w:t xml:space="preserve"> decrease linearly with increasing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(Gazeau et al., 2007)</w:t>
      </w:r>
      <w:r w:rsidRPr="00426D9F">
        <w:rPr>
          <w:rFonts w:ascii="Times" w:hAnsi="Times"/>
          <w:sz w:val="24"/>
        </w:rPr>
        <w:fldChar w:fldCharType="end"/>
      </w:r>
      <w:r w:rsidRPr="00426D9F">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426D9F">
        <w:rPr>
          <w:rFonts w:ascii="Times" w:hAnsi="Times"/>
          <w:sz w:val="24"/>
        </w:rPr>
        <w:fldChar w:fldCharType="begin" w:fldLock="1"/>
      </w:r>
      <w:r w:rsidRPr="00426D9F">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(Lannig et al., 2010)</w:t>
      </w:r>
      <w:r w:rsidRPr="00426D9F">
        <w:rPr>
          <w:rFonts w:ascii="Times" w:hAnsi="Times"/>
          <w:sz w:val="24"/>
        </w:rPr>
        <w:fldChar w:fldCharType="end"/>
      </w:r>
      <w:r w:rsidRPr="00426D9F">
        <w:rPr>
          <w:rFonts w:ascii="Times" w:hAnsi="Times"/>
          <w:sz w:val="24"/>
        </w:rPr>
        <w:t xml:space="preserve">.  Such studies illustrate that ocean acidification causes profound physiological changes in </w:t>
      </w:r>
      <w:r w:rsidRPr="00426D9F">
        <w:rPr>
          <w:rFonts w:ascii="Times" w:hAnsi="Times"/>
          <w:i/>
          <w:sz w:val="24"/>
        </w:rPr>
        <w:t>C. gigas</w:t>
      </w:r>
      <w:r w:rsidRPr="00426D9F">
        <w:rPr>
          <w:rFonts w:ascii="Times" w:hAnsi="Times"/>
          <w:sz w:val="24"/>
        </w:rPr>
        <w:t xml:space="preserve"> that may have long-term consequences on fitness.  </w:t>
      </w:r>
    </w:p>
    <w:p w14:paraId="0C7E560D" w14:textId="77777777" w:rsidR="00426D9F" w:rsidRPr="00426D9F" w:rsidRDefault="00426D9F" w:rsidP="00426D9F">
      <w:pPr>
        <w:pStyle w:val="normal0"/>
        <w:spacing w:line="360" w:lineRule="auto"/>
        <w:ind w:firstLine="720"/>
        <w:rPr>
          <w:rFonts w:ascii="Times" w:hAnsi="Times"/>
          <w:sz w:val="24"/>
        </w:rPr>
      </w:pPr>
      <w:bookmarkStart w:id="40" w:name="OLE_LINK7"/>
      <w:bookmarkStart w:id="41" w:name="OLE_LINK8"/>
      <w:r w:rsidRPr="00426D9F">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one month: 400, 800, 1000, or 2800 µatm.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represent approximate current-day surface ocean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(400 µatm) and three elevated values reflecting potential end-of-century scenarios as well as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variation that is currently experienced in the nearshore environment.  At the end of one month the impacts of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on shell growth, shell micromechanical properties, lipid metabolism, response to acute heat shock, and response to mechanical stress were assessed</w:t>
      </w:r>
      <w:bookmarkEnd w:id="40"/>
      <w:bookmarkEnd w:id="41"/>
      <w:r w:rsidRPr="00426D9F">
        <w:rPr>
          <w:rFonts w:ascii="Times" w:hAnsi="Times"/>
          <w:sz w:val="24"/>
        </w:rPr>
        <w:t xml:space="preserve">.  </w:t>
      </w:r>
    </w:p>
    <w:p w14:paraId="65B7EA91"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p>
    <w:p w14:paraId="3C652AFA" w14:textId="4A6C1CCD" w:rsidR="00426D9F" w:rsidRDefault="00C02D9B" w:rsidP="00426D9F">
      <w:pPr>
        <w:pStyle w:val="Heading2"/>
      </w:pPr>
      <w:bookmarkStart w:id="42" w:name="_Toc249155380"/>
      <w:r>
        <w:t>Methods</w:t>
      </w:r>
      <w:bookmarkEnd w:id="42"/>
    </w:p>
    <w:p w14:paraId="29F86A65" w14:textId="09AB13FB" w:rsidR="00732DA8" w:rsidRDefault="00732DA8" w:rsidP="00732DA8">
      <w:pPr>
        <w:pStyle w:val="Heading3"/>
      </w:pPr>
      <w:bookmarkStart w:id="43" w:name="_Toc249155381"/>
      <w:r>
        <w:t>Ocean acidification system</w:t>
      </w:r>
      <w:bookmarkEnd w:id="43"/>
    </w:p>
    <w:p w14:paraId="4DA51B30" w14:textId="0AA1E02E" w:rsidR="00732DA8"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This experiment was conducted at the Friday Harbor Labs Ocean Acidification Environmental Laboratory, Friday Harbor, Washington, USA where oysters were exposed to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of 400 µatm, 800 µatm, 1000 µatm, or 2800 µatm.  The system and control of water chemistry has been previously described in detail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"previouslyFormattedCitation" : "(O\u2019Donnell et al., 2013; Emma Timmins-Schiffman et al.,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 Timmins-Schiffman et al., 2013a)</w:t>
      </w:r>
      <w:r w:rsidRPr="00426D9F">
        <w:rPr>
          <w:rFonts w:ascii="Times" w:hAnsi="Times"/>
          <w:sz w:val="24"/>
        </w:rPr>
        <w:fldChar w:fldCharType="end"/>
      </w:r>
      <w:r w:rsidRPr="00426D9F">
        <w:rPr>
          <w:rFonts w:ascii="Times" w:hAnsi="Times"/>
          <w:sz w:val="24"/>
        </w:rPr>
        <w:t>. Briefly, incoming water was filtered (0.2 µm) and stripped of CO</w:t>
      </w:r>
      <w:r w:rsidRPr="00426D9F">
        <w:rPr>
          <w:rFonts w:ascii="Times" w:hAnsi="Times"/>
          <w:sz w:val="24"/>
          <w:vertAlign w:val="subscript"/>
        </w:rPr>
        <w:t>2</w:t>
      </w:r>
      <w:r w:rsidRPr="00426D9F">
        <w:rPr>
          <w:rFonts w:ascii="Times" w:hAnsi="Times"/>
          <w:sz w:val="24"/>
        </w:rPr>
        <w:t>. As the water flowed into the different treatment tanks, CO</w:t>
      </w:r>
      <w:r w:rsidRPr="00426D9F">
        <w:rPr>
          <w:rFonts w:ascii="Times" w:hAnsi="Times"/>
          <w:sz w:val="24"/>
          <w:vertAlign w:val="subscript"/>
        </w:rPr>
        <w:t>2</w:t>
      </w:r>
      <w:r w:rsidRPr="00426D9F">
        <w:rPr>
          <w:rFonts w:ascii="Times" w:hAnsi="Times"/>
          <w:sz w:val="24"/>
        </w:rPr>
        <w:t>-free air and CO</w:t>
      </w:r>
      <w:r w:rsidRPr="00426D9F">
        <w:rPr>
          <w:rFonts w:ascii="Times" w:hAnsi="Times"/>
          <w:sz w:val="24"/>
          <w:vertAlign w:val="subscript"/>
        </w:rPr>
        <w:t>2</w:t>
      </w:r>
      <w:r w:rsidRPr="00426D9F">
        <w:rPr>
          <w:rFonts w:ascii="Times" w:hAnsi="Times"/>
          <w:sz w:val="24"/>
        </w:rPr>
        <w:t xml:space="preserve"> were added back to reach set points that were continuously monitored by a DuraFET III pH probe (Honeywell, Morristown, NJ, USA).  From the treatment tanks, water flow into the eight replicate chambers for each of the four treatment levels was 57.5 mL/min.  For this experiment, set points were calculated for 13°C and estimated total alkalinity (A</w:t>
      </w:r>
      <w:r w:rsidRPr="00363A7C">
        <w:rPr>
          <w:rFonts w:ascii="Times" w:hAnsi="Times"/>
          <w:sz w:val="24"/>
          <w:vertAlign w:val="subscript"/>
        </w:rPr>
        <w:t>T</w:t>
      </w:r>
      <w:r w:rsidRPr="00426D9F">
        <w:rPr>
          <w:rFonts w:ascii="Times" w:hAnsi="Times"/>
          <w:sz w:val="24"/>
        </w:rPr>
        <w:t xml:space="preserve">) of 2100 µmol/kg for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values of 400 µatm (pH 8.03), 800 µatm (pH 7.76), 1000 µatm (pH 7.67), and 2800 µatm (pH 7.24).</w:t>
      </w:r>
    </w:p>
    <w:p w14:paraId="7F21FB8E" w14:textId="77777777" w:rsidR="00426D9F" w:rsidRPr="00732DA8" w:rsidRDefault="00426D9F" w:rsidP="00426D9F">
      <w:pPr>
        <w:pStyle w:val="normal0"/>
        <w:spacing w:line="360" w:lineRule="auto"/>
        <w:rPr>
          <w:rFonts w:ascii="Times" w:hAnsi="Times"/>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4188B1A9"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426D9F">
        <w:rPr>
          <w:rFonts w:ascii="Times" w:hAnsi="Times"/>
          <w:sz w:val="24"/>
          <w:vertAlign w:val="subscript"/>
        </w:rPr>
        <w:t>T</w:t>
      </w:r>
      <w:r w:rsidRPr="00426D9F">
        <w:rPr>
          <w:rFonts w:ascii="Times" w:hAnsi="Times"/>
          <w:sz w:val="24"/>
        </w:rPr>
        <w:t>) was measured using an open cell titration as described in SOP 3b (Dickson et al. 2007) for the treatment reservoir water and for two chambers on days 5, 11, 20, and 26.  If the A</w:t>
      </w:r>
      <w:r w:rsidRPr="00426D9F">
        <w:rPr>
          <w:rFonts w:ascii="Times" w:hAnsi="Times"/>
          <w:sz w:val="24"/>
          <w:vertAlign w:val="subscript"/>
        </w:rPr>
        <w:t>T</w:t>
      </w:r>
      <w:r w:rsidRPr="00426D9F">
        <w:rPr>
          <w:rFonts w:ascii="Times" w:hAnsi="Times"/>
          <w:sz w:val="24"/>
        </w:rPr>
        <w:t xml:space="preserve"> titration was not done on the day of collection, the water sample was poisoned with mercuric chloride and stored in a sealed borosilicate glass jar.  CO</w:t>
      </w:r>
      <w:r w:rsidRPr="00426D9F">
        <w:rPr>
          <w:rFonts w:ascii="Times" w:hAnsi="Times"/>
          <w:sz w:val="24"/>
          <w:vertAlign w:val="subscript"/>
        </w:rPr>
        <w:t>2</w:t>
      </w:r>
      <w:r w:rsidRPr="00426D9F">
        <w:rPr>
          <w:rFonts w:ascii="Times" w:hAnsi="Times"/>
          <w:sz w:val="24"/>
        </w:rPr>
        <w:t xml:space="preserve">calc (Robbins et al. 2010) was used to calculate calcium carbonate saturation state of aragonite and calcite, carbonate ion concentration,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with A</w:t>
      </w:r>
      <w:r w:rsidRPr="00426D9F">
        <w:rPr>
          <w:rFonts w:ascii="Times" w:hAnsi="Times"/>
          <w:sz w:val="24"/>
          <w:vertAlign w:val="subscript"/>
        </w:rPr>
        <w:t>T</w:t>
      </w:r>
      <w:r w:rsidRPr="00426D9F">
        <w:rPr>
          <w:rFonts w:ascii="Times" w:hAnsi="Times"/>
          <w:sz w:val="24"/>
        </w:rPr>
        <w:t xml:space="preserve"> and pH as inputs and using the following constants: Lueker et al. (2000) for CO</w:t>
      </w:r>
      <w:r w:rsidRPr="00426D9F">
        <w:rPr>
          <w:rFonts w:ascii="Times" w:hAnsi="Times"/>
          <w:sz w:val="24"/>
          <w:vertAlign w:val="subscript"/>
        </w:rPr>
        <w:t>2</w:t>
      </w:r>
      <w:r w:rsidRPr="00426D9F">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44" w:name="_Toc249155382"/>
      <w:r>
        <w:t>Experimental design</w:t>
      </w:r>
      <w:bookmarkEnd w:id="44"/>
    </w:p>
    <w:p w14:paraId="6A148D0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Relative growth rate of oyster cohorts within each treatment was calculated for buoyant weight based on </w:t>
      </w:r>
      <w:r w:rsidRPr="00426D9F">
        <w:rPr>
          <w:rFonts w:ascii="Times" w:hAnsi="Times"/>
          <w:sz w:val="24"/>
        </w:rPr>
        <w:fldChar w:fldCharType="begin" w:fldLock="1"/>
      </w:r>
      <w:r w:rsidRPr="00426D9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Hoffmann and Poorter (2002)</w:t>
      </w:r>
      <w:r w:rsidRPr="00426D9F">
        <w:rPr>
          <w:rFonts w:ascii="Times" w:hAnsi="Times"/>
          <w:sz w:val="24"/>
        </w:rPr>
        <w:fldChar w:fldCharType="end"/>
      </w:r>
      <w:r w:rsidRPr="00426D9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on buoyant weight, using the model: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56B3B07C"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where </w:t>
      </w:r>
      <w:r w:rsidRPr="00426D9F">
        <w:rPr>
          <w:rFonts w:ascii="Times" w:hAnsi="Times"/>
          <w:i/>
          <w:sz w:val="24"/>
        </w:rPr>
        <w:t>bw</w:t>
      </w:r>
      <w:r w:rsidRPr="00426D9F">
        <w:rPr>
          <w:rFonts w:ascii="Times" w:hAnsi="Times"/>
          <w:sz w:val="24"/>
        </w:rPr>
        <w:t xml:space="preserve"> is the measured buoyant weight for an oyster, </w:t>
      </w:r>
      <w:r w:rsidRPr="00426D9F">
        <w:rPr>
          <w:rFonts w:ascii="Times" w:hAnsi="Times"/>
          <w:i/>
          <w:sz w:val="24"/>
        </w:rPr>
        <w:t>t</w:t>
      </w:r>
      <w:r w:rsidRPr="00426D9F">
        <w:rPr>
          <w:rFonts w:ascii="Times" w:hAnsi="Times"/>
          <w:sz w:val="24"/>
        </w:rPr>
        <w:t xml:space="preserve"> is time point (either start or end of the experiment) and </w:t>
      </w:r>
      <w:r w:rsidRPr="00426D9F">
        <w:rPr>
          <w:rFonts w:ascii="Times" w:hAnsi="Times"/>
          <w:i/>
          <w:sz w:val="24"/>
        </w:rPr>
        <w:t>pCO</w:t>
      </w:r>
      <w:r w:rsidRPr="00426D9F">
        <w:rPr>
          <w:rFonts w:ascii="Times" w:hAnsi="Times"/>
          <w:i/>
          <w:sz w:val="24"/>
          <w:vertAlign w:val="subscript"/>
        </w:rPr>
        <w:t>2</w:t>
      </w:r>
      <w:r w:rsidRPr="00426D9F">
        <w:rPr>
          <w:rFonts w:ascii="Times" w:hAnsi="Times"/>
          <w:sz w:val="24"/>
        </w:rPr>
        <w:t xml:space="preserve"> is the treatment condition.  Growth rate</w:t>
      </w:r>
      <w:r w:rsidRPr="00426D9F">
        <w:rPr>
          <w:rFonts w:ascii="Times" w:hAnsi="Times"/>
          <w:color w:val="FF0000"/>
          <w:sz w:val="24"/>
        </w:rPr>
        <w:t xml:space="preserve"> </w:t>
      </w:r>
      <w:r w:rsidRPr="00426D9F">
        <w:rPr>
          <w:rFonts w:ascii="Times" w:hAnsi="Times"/>
          <w:sz w:val="24"/>
        </w:rPr>
        <w:t>analyses were performed in R (R Core Team, 2013).</w:t>
      </w:r>
    </w:p>
    <w:p w14:paraId="4686693A"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Oysters were held in one of four treatments for 29 days. At the end of the treatment period oysters were either immediately sampled (n =16), subjected to mechanical stress by centrifugation in a standard salad spinner (5min, ~100rpm) and sampled (n = 8), or subjected heat shock for one hour and sampled (n = 24). Centrifugation has previously been shown to stimulate a stress response in oysters as evidenced by increased circulating noradrenaline and impacts on hemocyte function </w:t>
      </w:r>
      <w:r w:rsidRPr="00426D9F">
        <w:rPr>
          <w:rFonts w:ascii="Times" w:hAnsi="Times"/>
          <w:sz w:val="24"/>
        </w:rPr>
        <w:fldChar w:fldCharType="begin" w:fldLock="1"/>
      </w:r>
      <w:r w:rsidRPr="00426D9F">
        <w:rPr>
          <w:rFonts w:ascii="Times" w:hAnsi="Times"/>
          <w:sz w:val="24"/>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(Lacoste et al., 2001a; Lacoste et al., 2001b)</w:t>
      </w:r>
      <w:r w:rsidRPr="00426D9F">
        <w:rPr>
          <w:rFonts w:ascii="Times" w:hAnsi="Times"/>
          <w:sz w:val="24"/>
        </w:rPr>
        <w:fldChar w:fldCharType="end"/>
      </w:r>
      <w:r w:rsidRPr="00426D9F">
        <w:rPr>
          <w:rFonts w:ascii="Times" w:hAnsi="Times"/>
          <w:sz w:val="24"/>
        </w:rPr>
        <w:t xml:space="preserve">.  </w:t>
      </w:r>
    </w:p>
    <w:p w14:paraId="2D7FAA4B"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For sampling, a section of the posterior gill lamellae was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45" w:name="_Toc249155383"/>
      <w:r>
        <w:t>Shell micromechanical properties</w:t>
      </w:r>
      <w:bookmarkEnd w:id="45"/>
    </w:p>
    <w:p w14:paraId="5FBEF413"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testing was conducted on left shell valves of </w:t>
      </w:r>
      <w:r w:rsidRPr="00426D9F">
        <w:rPr>
          <w:rFonts w:ascii="Times" w:hAnsi="Times"/>
          <w:i/>
          <w:sz w:val="24"/>
        </w:rPr>
        <w:t>C. gigas</w:t>
      </w:r>
      <w:r w:rsidRPr="00426D9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3BA6635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793D72F7"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Vickers microhardness tests were conducted using a microindentation hardness tester (Clark Instrument MHT-1, SUN-TEC, Novi, MI, USA) on polished shells at 0.245 N load and 5 s dwelling time. Indents were made within the bulk, foliated layer of the shell. Seven to eight indentations were made per sample and each indent was placed at least 45 µm away from other indents and the sample’s edges. Vickers hardness numbers (VHN) were calculated as:</w:t>
      </w: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04DFFF74" w14:textId="7C8AA12B" w:rsidR="00426D9F" w:rsidRPr="00426D9F" w:rsidRDefault="00426D9F" w:rsidP="00426D9F">
      <w:pPr>
        <w:pStyle w:val="normal0"/>
        <w:spacing w:line="360" w:lineRule="auto"/>
        <w:rPr>
          <w:rFonts w:ascii="Times" w:hAnsi="Times"/>
          <w:sz w:val="24"/>
        </w:rPr>
      </w:pPr>
      <w:r w:rsidRPr="00426D9F">
        <w:rPr>
          <w:rFonts w:ascii="Times" w:hAnsi="Times"/>
          <w:sz w:val="24"/>
        </w:rPr>
        <w:t>where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S</w:t>
      </w:r>
      <w:r w:rsidR="00363A7C">
        <w:rPr>
          <w:rFonts w:ascii="Times" w:hAnsi="Times"/>
          <w:sz w:val="24"/>
        </w:rPr>
        <w:t xml:space="preserve"> III.</w:t>
      </w:r>
      <w:r w:rsidRPr="00426D9F">
        <w:rPr>
          <w:rFonts w:ascii="Times" w:hAnsi="Times"/>
          <w:sz w:val="24"/>
        </w:rPr>
        <w:t>1). Hardness and crack radius measurements were used to calculate fracture toughness (K</w:t>
      </w:r>
      <w:r w:rsidRPr="00426D9F">
        <w:rPr>
          <w:rFonts w:ascii="Times" w:hAnsi="Times"/>
          <w:sz w:val="24"/>
          <w:vertAlign w:val="subscript"/>
        </w:rPr>
        <w:t>c</w:t>
      </w:r>
      <w:r w:rsidRPr="00426D9F">
        <w:rPr>
          <w:rFonts w:ascii="Times" w:hAnsi="Times"/>
          <w:sz w:val="24"/>
        </w:rPr>
        <w:t xml:space="preserve">) for each sample as described elsewhere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(Anstis et al., 1981; Baldassarri et al., 2008)</w:t>
      </w:r>
      <w:r w:rsidRPr="00426D9F">
        <w:rPr>
          <w:rFonts w:ascii="Times" w:hAnsi="Times"/>
          <w:sz w:val="24"/>
        </w:rPr>
        <w:fldChar w:fldCharType="end"/>
      </w:r>
      <w:r w:rsidRPr="00426D9F">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672C4AF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where 0.0154 is a calibration constant, E is an elastic modulus (empirically determined for </w:t>
      </w:r>
      <w:r w:rsidRPr="00426D9F">
        <w:rPr>
          <w:rFonts w:ascii="Times" w:hAnsi="Times"/>
          <w:i/>
          <w:sz w:val="24"/>
        </w:rPr>
        <w:t xml:space="preserve">C. gigas </w:t>
      </w:r>
      <w:r w:rsidRPr="00426D9F">
        <w:rPr>
          <w:rFonts w:ascii="Times" w:hAnsi="Times"/>
          <w:sz w:val="24"/>
        </w:rPr>
        <w:t xml:space="preserve">as 73 GPa: </w:t>
      </w:r>
      <w:r w:rsidRPr="00426D9F">
        <w:rPr>
          <w:rFonts w:ascii="Times" w:hAnsi="Times"/>
          <w:sz w:val="24"/>
        </w:rPr>
        <w:fldChar w:fldCharType="begin" w:fldLock="1"/>
      </w:r>
      <w:r w:rsidRPr="00426D9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Lee et al., 2008)</w:t>
      </w:r>
      <w:r w:rsidRPr="00426D9F">
        <w:rPr>
          <w:rFonts w:ascii="Times" w:hAnsi="Times"/>
          <w:sz w:val="24"/>
        </w:rPr>
        <w:fldChar w:fldCharType="end"/>
      </w:r>
      <w:r w:rsidRPr="00426D9F">
        <w:rPr>
          <w:rFonts w:ascii="Times" w:hAnsi="Times"/>
          <w:sz w:val="24"/>
        </w:rPr>
        <w:t xml:space="preserve">, H is hardness in GPa, P is applied load in N and C is crack radius in μm. </w:t>
      </w:r>
    </w:p>
    <w:p w14:paraId="29443F72"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27C401BA" w:rsidR="00732DA8" w:rsidRDefault="00732DA8" w:rsidP="00732DA8">
      <w:pPr>
        <w:pStyle w:val="Heading3"/>
      </w:pPr>
      <w:bookmarkStart w:id="46" w:name="_Toc249155384"/>
      <w:r>
        <w:t>Fatty acid analysis</w:t>
      </w:r>
      <w:bookmarkEnd w:id="46"/>
    </w:p>
    <w:p w14:paraId="5383E460" w14:textId="77777777" w:rsidR="00426D9F" w:rsidRPr="009454B5" w:rsidRDefault="00426D9F" w:rsidP="009454B5">
      <w:pPr>
        <w:spacing w:line="360" w:lineRule="auto"/>
        <w:ind w:firstLine="720"/>
        <w:rPr>
          <w:rFonts w:ascii="Times" w:hAnsi="Times"/>
        </w:rPr>
      </w:pPr>
      <w:bookmarkStart w:id="47" w:name="_Toc249155385"/>
      <w:r w:rsidRPr="009454B5">
        <w:rPr>
          <w:rFonts w:ascii="Times" w:hAnsi="Times"/>
        </w:rPr>
        <w:t>Fatty acid analysis was carried out on oysters from three pCO</w:t>
      </w:r>
      <w:r w:rsidRPr="009454B5">
        <w:rPr>
          <w:rFonts w:ascii="Times" w:hAnsi="Times"/>
          <w:vertAlign w:val="subscript"/>
        </w:rPr>
        <w:t xml:space="preserve">2 </w:t>
      </w:r>
      <w:r w:rsidRPr="009454B5">
        <w:rPr>
          <w:rFonts w:ascii="Times" w:hAnsi="Times"/>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Pr="009454B5">
        <w:rPr>
          <w:rFonts w:ascii="Times" w:hAnsi="Times"/>
        </w:rPr>
        <w:fldChar w:fldCharType="begin" w:fldLock="1"/>
      </w:r>
      <w:r w:rsidRPr="009454B5">
        <w:rPr>
          <w:rFonts w:ascii="Times" w:hAnsi="Times"/>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9454B5">
        <w:rPr>
          <w:rFonts w:ascii="Times" w:hAnsi="Times"/>
        </w:rPr>
        <w:fldChar w:fldCharType="separate"/>
      </w:r>
      <w:r w:rsidRPr="009454B5">
        <w:rPr>
          <w:rFonts w:ascii="Times" w:hAnsi="Times"/>
          <w:noProof/>
        </w:rPr>
        <w:t>Galloway et al. (2012)</w:t>
      </w:r>
      <w:r w:rsidRPr="009454B5">
        <w:rPr>
          <w:rFonts w:ascii="Times" w:hAnsi="Times"/>
        </w:rPr>
        <w:fldChar w:fldCharType="end"/>
      </w:r>
      <w:r w:rsidRPr="009454B5">
        <w:rPr>
          <w:rFonts w:ascii="Times" w:hAnsi="Times"/>
        </w:rPr>
        <w:t xml:space="preserve"> except two chloroform removals were carried out.  Fatty acid methyl esters were identified by running the samples on a HP 6958 gas chromatograph with an auto-sampler and flame-ionization detector using an Agilent DB-23 column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w:t>
      </w:r>
      <w:bookmarkEnd w:id="47"/>
      <w:r w:rsidRPr="009454B5">
        <w:rPr>
          <w:rFonts w:ascii="Times" w:hAnsi="Times"/>
        </w:rPr>
        <w:t xml:space="preserve">  </w:t>
      </w:r>
    </w:p>
    <w:p w14:paraId="7DA7D08B" w14:textId="05DD1DFB" w:rsidR="00732DA8" w:rsidRDefault="00732DA8" w:rsidP="00732DA8">
      <w:pPr>
        <w:pStyle w:val="Heading3"/>
      </w:pPr>
      <w:bookmarkStart w:id="48" w:name="_Toc249155386"/>
      <w:r>
        <w:t>Heat shock</w:t>
      </w:r>
      <w:bookmarkEnd w:id="48"/>
    </w:p>
    <w:p w14:paraId="0CBCB4AD"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Oysters from each of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(Clegg et al., 2009)</w:t>
      </w:r>
      <w:r w:rsidRPr="00426D9F">
        <w:rPr>
          <w:rFonts w:ascii="Times" w:hAnsi="Times"/>
          <w:sz w:val="24"/>
        </w:rPr>
        <w:fldChar w:fldCharType="end"/>
      </w:r>
      <w:r w:rsidRPr="00426D9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ANOVA in R (R Core Development Team, 2013) with pCO</w:t>
      </w:r>
      <w:r w:rsidRPr="00426D9F">
        <w:rPr>
          <w:rFonts w:ascii="Times" w:hAnsi="Times"/>
          <w:sz w:val="24"/>
          <w:vertAlign w:val="subscript"/>
        </w:rPr>
        <w:t>2</w:t>
      </w:r>
      <w:r w:rsidRPr="00426D9F">
        <w:rPr>
          <w:rFonts w:ascii="Times" w:hAnsi="Times"/>
          <w:sz w:val="24"/>
        </w:rPr>
        <w:t>, day, and temperature as fixed factors.</w:t>
      </w:r>
    </w:p>
    <w:p w14:paraId="54E55E62" w14:textId="77777777" w:rsidR="00732DA8" w:rsidRPr="00732DA8" w:rsidRDefault="00732DA8" w:rsidP="00732DA8"/>
    <w:p w14:paraId="513B53B4" w14:textId="586C64B9" w:rsidR="00732DA8" w:rsidRDefault="00732DA8" w:rsidP="00732DA8">
      <w:pPr>
        <w:pStyle w:val="Heading3"/>
      </w:pPr>
      <w:bookmarkStart w:id="49" w:name="_Toc249155387"/>
      <w:r>
        <w:t>Liquid chromatography and tandem mass spectrometry (LC-MS/MS)</w:t>
      </w:r>
      <w:bookmarkEnd w:id="49"/>
    </w:p>
    <w:p w14:paraId="2C60ACD9" w14:textId="5871DF2B" w:rsidR="00732DA8" w:rsidRPr="00732DA8" w:rsidRDefault="00426D9F" w:rsidP="00426D9F">
      <w:pPr>
        <w:spacing w:line="360" w:lineRule="auto"/>
        <w:ind w:firstLine="720"/>
      </w:pPr>
      <w:r w:rsidRPr="00B14C1B">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Nunn, Goodlett, &amp; Roberts,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et al.,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w:t>
      </w:r>
    </w:p>
    <w:p w14:paraId="301F8A64" w14:textId="450CFB77" w:rsidR="00732DA8" w:rsidRDefault="00732DA8" w:rsidP="00732DA8">
      <w:pPr>
        <w:pStyle w:val="Heading3"/>
      </w:pPr>
      <w:bookmarkStart w:id="50" w:name="_Toc249155388"/>
      <w:r>
        <w:t>Protein informatics analysis</w:t>
      </w:r>
      <w:bookmarkEnd w:id="50"/>
    </w:p>
    <w:p w14:paraId="33BD1A85"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Peptide tandem mass spectra were correlated to </w:t>
      </w:r>
      <w:r w:rsidRPr="00426D9F">
        <w:rPr>
          <w:rFonts w:ascii="Times" w:hAnsi="Times"/>
          <w:i/>
          <w:sz w:val="24"/>
        </w:rPr>
        <w:t>in silico</w:t>
      </w:r>
      <w:r w:rsidRPr="00426D9F">
        <w:rPr>
          <w:rFonts w:ascii="Times" w:hAnsi="Times"/>
          <w:sz w:val="24"/>
        </w:rPr>
        <w:t xml:space="preserve">-generated tandem mass spectra resulting from the Pacific oyster proteome (Fang et al. 2012) using SEQUEST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1994)</w:t>
      </w:r>
      <w:r w:rsidRPr="00426D9F">
        <w:rPr>
          <w:rFonts w:ascii="Times" w:hAnsi="Times"/>
          <w:sz w:val="24"/>
        </w:rPr>
        <w:fldChar w:fldCharType="end"/>
      </w:r>
      <w:r w:rsidRPr="00426D9F">
        <w:rPr>
          <w:rFonts w:ascii="Times" w:hAnsi="Times"/>
          <w:sz w:val="24"/>
        </w:rPr>
        <w:t xml:space="preserve">.  Using PeptideProphet from the trans-proteomic pipeline (TPP), peptides were assigned a relative score for best match to the database </w:t>
      </w:r>
      <w:r w:rsidRPr="00426D9F">
        <w:rPr>
          <w:rFonts w:ascii="Times" w:hAnsi="Times"/>
          <w:sz w:val="24"/>
        </w:rPr>
        <w:fldChar w:fldCharType="begin" w:fldLock="1"/>
      </w:r>
      <w:r w:rsidRPr="00426D9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2008; Eng et al., 1994)</w:t>
      </w:r>
      <w:r w:rsidRPr="00426D9F">
        <w:rPr>
          <w:rFonts w:ascii="Times" w:hAnsi="Times"/>
          <w:sz w:val="24"/>
        </w:rPr>
        <w:fldChar w:fldCharType="end"/>
      </w:r>
      <w:r w:rsidRPr="00426D9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78AF1D15"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NSAF (normalized spectral abundance factor), a metric based on spectral counting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This workflow was executed in SQLshare (Howe et al., 2011).</w:t>
      </w:r>
    </w:p>
    <w:p w14:paraId="70FB9461"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Oyster proteins (Fang et al. 2012) were annotated by comparing sequences to the UniProt-KB/SwissProt database (</w:t>
      </w:r>
      <w:hyperlink r:id="rId25">
        <w:r w:rsidRPr="00426D9F">
          <w:rPr>
            <w:rFonts w:ascii="Times" w:hAnsi="Times"/>
            <w:color w:val="1155CC"/>
            <w:sz w:val="24"/>
            <w:u w:val="single"/>
          </w:rPr>
          <w:t>http://uniprot.org</w:t>
        </w:r>
      </w:hyperlink>
      <w:r w:rsidRPr="00426D9F">
        <w:rPr>
          <w:rFonts w:ascii="Times" w:hAnsi="Times"/>
          <w:sz w:val="24"/>
        </w:rPr>
        <w:t xml:space="preserve">) using the blastp algorithm </w:t>
      </w:r>
      <w:r w:rsidRPr="00426D9F">
        <w:rPr>
          <w:rFonts w:ascii="Times" w:hAnsi="Times"/>
          <w:sz w:val="24"/>
        </w:rPr>
        <w:fldChar w:fldCharType="begin" w:fldLock="1"/>
      </w:r>
      <w:r w:rsidRPr="00426D9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(Altschul et al., 1997)</w:t>
      </w:r>
      <w:r w:rsidRPr="00426D9F">
        <w:rPr>
          <w:rFonts w:ascii="Times" w:hAnsi="Times"/>
          <w:sz w:val="24"/>
        </w:rPr>
        <w:fldChar w:fldCharType="end"/>
      </w:r>
      <w:r w:rsidRPr="00426D9F">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7E7840D9" w:rsidR="00732DA8" w:rsidRPr="00426D9F" w:rsidRDefault="00426D9F" w:rsidP="00363A7C">
      <w:pPr>
        <w:pStyle w:val="normal0"/>
        <w:spacing w:line="360" w:lineRule="auto"/>
        <w:ind w:firstLine="720"/>
        <w:rPr>
          <w:rFonts w:ascii="Times" w:hAnsi="Times"/>
          <w:sz w:val="24"/>
        </w:rPr>
      </w:pPr>
      <w:r w:rsidRPr="00426D9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  Use of a q-value instead of a p-value from a t-test allows for a multiple comparisons correction using the positive false discovery rate </w:t>
      </w:r>
      <w:r w:rsidRPr="00426D9F">
        <w:rPr>
          <w:rFonts w:ascii="Times" w:hAnsi="Times"/>
          <w:sz w:val="24"/>
        </w:rPr>
        <w:fldChar w:fldCharType="begin" w:fldLock="1"/>
      </w:r>
      <w:r w:rsidRPr="00426D9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(Storey and Tibshirani, 2003; Storey, 2002)</w:t>
      </w:r>
      <w:r w:rsidRPr="00426D9F">
        <w:rPr>
          <w:rFonts w:ascii="Times" w:hAnsi="Times"/>
          <w:sz w:val="24"/>
        </w:rPr>
        <w:fldChar w:fldCharType="end"/>
      </w:r>
      <w:r w:rsidRPr="00426D9F">
        <w:rPr>
          <w:rFonts w:ascii="Times" w:hAnsi="Times"/>
          <w:sz w:val="24"/>
        </w:rPr>
        <w:t>.  In an effort to determine the biological processes that were influenced by altered environmental conditions, proteins were considered differentially expressed if either there was 1) a 5-fold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were considered having a greater than 5-fold difference and were included in the differentially expressed protein group. Enrichment analysis was performed on these differentially expressed proteins using the Database for Annotation, Visualization, and Integrated Discovery (DAVID) v. 6.7 (</w:t>
      </w:r>
      <w:r w:rsidRPr="00426D9F">
        <w:rPr>
          <w:rFonts w:ascii="Times" w:hAnsi="Times"/>
          <w:sz w:val="24"/>
        </w:rPr>
        <w:fldChar w:fldCharType="begin" w:fldLock="1"/>
      </w:r>
      <w:r w:rsidRPr="00426D9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Huang et al., 2009a, 2009b)</w:t>
      </w:r>
      <w:r w:rsidRPr="00426D9F">
        <w:rPr>
          <w:rFonts w:ascii="Times" w:hAnsi="Times"/>
          <w:sz w:val="24"/>
        </w:rPr>
        <w:fldChar w:fldCharType="end"/>
      </w:r>
      <w:r w:rsidRPr="00426D9F">
        <w:rPr>
          <w:rFonts w:ascii="Times" w:hAnsi="Times"/>
          <w:sz w:val="24"/>
        </w:rPr>
        <w:t xml:space="preserve"> (</w:t>
      </w:r>
      <w:hyperlink r:id="rId26">
        <w:r w:rsidRPr="00426D9F">
          <w:rPr>
            <w:rFonts w:ascii="Times" w:hAnsi="Times"/>
            <w:color w:val="1155CC"/>
            <w:sz w:val="24"/>
            <w:u w:val="single"/>
          </w:rPr>
          <w:t>http://david.abcc.ncifcrf.gov/</w:t>
        </w:r>
      </w:hyperlink>
      <w:r w:rsidRPr="00426D9F">
        <w:rPr>
          <w:rFonts w:ascii="Times" w:hAnsi="Times"/>
          <w:color w:val="1155CC"/>
          <w:sz w:val="24"/>
          <w:u w:val="single"/>
        </w:rPr>
        <w:t>)</w:t>
      </w:r>
      <w:r w:rsidRPr="00426D9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51" w:name="_Toc249155389"/>
      <w:r>
        <w:t>Results</w:t>
      </w:r>
      <w:bookmarkEnd w:id="51"/>
    </w:p>
    <w:p w14:paraId="0FD3A5F4" w14:textId="16FAFB54" w:rsidR="00EF2726" w:rsidRDefault="00EF2726" w:rsidP="00EF2726">
      <w:pPr>
        <w:pStyle w:val="Heading3"/>
      </w:pPr>
      <w:bookmarkStart w:id="52" w:name="_Toc249155390"/>
      <w:r>
        <w:t>Seawater chemistry analysis</w:t>
      </w:r>
      <w:bookmarkEnd w:id="52"/>
    </w:p>
    <w:p w14:paraId="197B7CF0" w14:textId="6D55F8C9"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the four different treatments remained consistent throughout the one month experiment (Table </w:t>
      </w:r>
      <w:r w:rsidR="00363A7C">
        <w:rPr>
          <w:rFonts w:ascii="Times" w:hAnsi="Times"/>
          <w:sz w:val="24"/>
        </w:rPr>
        <w:t>III.</w:t>
      </w:r>
      <w:r w:rsidRPr="00426D9F">
        <w:rPr>
          <w:rFonts w:ascii="Times" w:hAnsi="Times"/>
          <w:sz w:val="24"/>
        </w:rPr>
        <w:t xml:space="preserve">1). Average pH (± s.d.) for treatments as measured by the DuraFET probe were 8.02 ± 0.02, 7.73 ± 0.04, 7.63 ± 0.10, and 7.29 ± 0.10 for the 400, 800, 1000, and 2800 µatm treatments, respectively.  Spectrophotometric pH corroborated the DuraFET measurements (spectrophotometric pH data not shown).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in containers with oysters was approximately 40 µatm higher than the source water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426D9F">
        <w:rPr>
          <w:rFonts w:ascii="Times" w:hAnsi="Times"/>
          <w:sz w:val="24"/>
          <w:vertAlign w:val="subscript"/>
        </w:rPr>
        <w:t>c</w:t>
      </w:r>
      <w:r w:rsidRPr="00426D9F">
        <w:rPr>
          <w:rFonts w:ascii="Times" w:hAnsi="Times"/>
          <w:sz w:val="24"/>
        </w:rPr>
        <w:t xml:space="preserve"> &lt; 1.0) only at the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 and aragonite was undersaturated at the two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levels (1000 µatm and 2800 µatm).</w:t>
      </w:r>
    </w:p>
    <w:p w14:paraId="0B02AFF7" w14:textId="77777777" w:rsidR="002A3DE3" w:rsidRDefault="002A3DE3" w:rsidP="002A3DE3">
      <w:pPr>
        <w:pStyle w:val="normal0"/>
        <w:spacing w:line="240" w:lineRule="auto"/>
        <w:rPr>
          <w:rFonts w:ascii="Times" w:hAnsi="Times"/>
          <w:sz w:val="24"/>
        </w:rPr>
      </w:pPr>
    </w:p>
    <w:p w14:paraId="01255E84" w14:textId="7D243E7F"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r w:rsidR="00426D9F" w:rsidRPr="00426D9F">
        <w:rPr>
          <w:rFonts w:ascii="Times" w:hAnsi="Times"/>
          <w:sz w:val="24"/>
        </w:rPr>
        <w:t>Water chemistry summary data. Mean and ± standard deviation are provided for the 29 day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pH and temperature values are from the continuous monitoring by the DuraFET probe.  pH,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calc (Robbins et al., 2010).</w:t>
      </w:r>
    </w:p>
    <w:p w14:paraId="0A73D9E9" w14:textId="05059FF9" w:rsidR="00EF2726" w:rsidRPr="00EF2726" w:rsidRDefault="002A3DE3" w:rsidP="00EF2726">
      <w:r>
        <w:rPr>
          <w:noProof/>
          <w:lang w:eastAsia="en-US"/>
        </w:rPr>
        <w:drawing>
          <wp:inline distT="0" distB="0" distL="0" distR="0" wp14:anchorId="43D6C522" wp14:editId="509F5167">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35888CA0" w14:textId="36E171A8" w:rsidR="00EF2726" w:rsidRDefault="00EF2726" w:rsidP="00EF2726">
      <w:pPr>
        <w:pStyle w:val="Heading3"/>
      </w:pPr>
      <w:bookmarkStart w:id="53" w:name="_Toc249155391"/>
      <w:r>
        <w:t>Oyster growth</w:t>
      </w:r>
      <w:bookmarkEnd w:id="53"/>
    </w:p>
    <w:p w14:paraId="68E902E3" w14:textId="16363520" w:rsidR="00EF2726" w:rsidRDefault="00426D9F" w:rsidP="00426D9F">
      <w:pPr>
        <w:spacing w:line="360" w:lineRule="auto"/>
        <w:ind w:firstLine="720"/>
        <w:rPr>
          <w:rFonts w:ascii="Times" w:hAnsi="Times"/>
        </w:rPr>
      </w:pPr>
      <w:r w:rsidRPr="00B14C1B">
        <w:rPr>
          <w:rFonts w:ascii="Times" w:hAnsi="Times"/>
          <w:szCs w:val="22"/>
        </w:rPr>
        <w:t xml:space="preserve">Relative growth rate (RGR) for shell mass exposed to increased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as measured by buoyant weight, was not significantly different among treatments (p &gt; 0.05) (Table </w:t>
      </w:r>
      <w:r w:rsidR="00363A7C">
        <w:rPr>
          <w:rFonts w:ascii="Times" w:hAnsi="Times"/>
          <w:szCs w:val="22"/>
        </w:rPr>
        <w:t>III.</w:t>
      </w:r>
      <w:r w:rsidRPr="00B14C1B">
        <w:rPr>
          <w:rFonts w:ascii="Times" w:hAnsi="Times"/>
          <w:szCs w:val="22"/>
        </w:rPr>
        <w:t xml:space="preserve">2).  There was a significant effect of time on shell mass across all treatments (F = 6.1190, p = 0.014), indicating shell growth in all treatments.  </w:t>
      </w:r>
    </w:p>
    <w:p w14:paraId="7AD24C8B" w14:textId="77777777" w:rsidR="002A3DE3" w:rsidRDefault="002A3DE3" w:rsidP="002A3DE3"/>
    <w:p w14:paraId="23F484CB" w14:textId="1F9973A9"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1E1F53FE" w14:textId="3A9C4BB7" w:rsidR="002A3DE3" w:rsidRPr="00EF2726" w:rsidRDefault="002A3DE3" w:rsidP="002A3DE3">
      <w:r>
        <w:rPr>
          <w:noProof/>
          <w:lang w:eastAsia="en-US"/>
        </w:rPr>
        <w:drawing>
          <wp:inline distT="0" distB="0" distL="0" distR="0" wp14:anchorId="19117609" wp14:editId="2EBB4902">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8">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52879810" w14:textId="74C9B2BD" w:rsidR="00EF2726" w:rsidRDefault="00EF2726" w:rsidP="00EF2726">
      <w:pPr>
        <w:pStyle w:val="Heading3"/>
      </w:pPr>
      <w:bookmarkStart w:id="54" w:name="_Toc249155392"/>
      <w:r>
        <w:t>Micromechanical properties</w:t>
      </w:r>
      <w:bookmarkEnd w:id="54"/>
    </w:p>
    <w:p w14:paraId="59AE0316" w14:textId="0E014890"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treatments (microhardness: Welch ANOVA, p = 0.014; fracture toughness: one-way ANOVA, p = 0.003) (Figure </w:t>
      </w:r>
      <w:r w:rsidR="00363A7C">
        <w:rPr>
          <w:rFonts w:ascii="Times" w:hAnsi="Times"/>
          <w:sz w:val="24"/>
        </w:rPr>
        <w:t>III.</w:t>
      </w:r>
      <w:r w:rsidRPr="00426D9F">
        <w:rPr>
          <w:rFonts w:ascii="Times" w:hAnsi="Times"/>
          <w:sz w:val="24"/>
        </w:rPr>
        <w:t>1). The microhardness of shells grown at 1000 µatm was significantly lower than that of shells grown at 400 µatm (Games-Howell: p &lt; 0.05). Shells grown at 2800 µatm showed a trend toward lower microhardness as compared to the 400 µatm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S</w:t>
      </w:r>
      <w:r w:rsidR="00363A7C">
        <w:rPr>
          <w:rFonts w:ascii="Times" w:hAnsi="Times"/>
          <w:sz w:val="24"/>
        </w:rPr>
        <w:t xml:space="preserve"> III.</w:t>
      </w:r>
      <w:r w:rsidRPr="00426D9F">
        <w:rPr>
          <w:rFonts w:ascii="Times" w:hAnsi="Times"/>
          <w:sz w:val="24"/>
        </w:rPr>
        <w:t>1.</w:t>
      </w:r>
      <w:r w:rsidR="00EF2726" w:rsidRPr="00426D9F">
        <w:rPr>
          <w:rFonts w:ascii="Times" w:hAnsi="Times"/>
          <w:sz w:val="24"/>
        </w:rPr>
        <w:t xml:space="preserve"> </w:t>
      </w:r>
    </w:p>
    <w:p w14:paraId="61EC8DBE" w14:textId="5807AE3D"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39B42CBB" wp14:editId="3A6D27E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29">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7523CA81" w14:textId="4F397A50"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1D21DB1" w14:textId="78DAF9A4" w:rsidR="00EF2726" w:rsidRDefault="00EF2726" w:rsidP="00EF2726">
      <w:pPr>
        <w:pStyle w:val="Heading3"/>
      </w:pPr>
      <w:bookmarkStart w:id="55" w:name="_Toc249155393"/>
      <w:r>
        <w:t>Fatty acids</w:t>
      </w:r>
      <w:bookmarkEnd w:id="55"/>
    </w:p>
    <w:p w14:paraId="611203F9" w14:textId="5B4A76C3" w:rsidR="00295E93" w:rsidRDefault="00295E93" w:rsidP="00363A7C">
      <w:pPr>
        <w:spacing w:line="360" w:lineRule="auto"/>
        <w:ind w:firstLine="720"/>
        <w:rPr>
          <w:rFonts w:ascii="Times" w:hAnsi="Times"/>
          <w:szCs w:val="22"/>
        </w:rPr>
      </w:pPr>
      <w:r w:rsidRPr="00B14C1B">
        <w:rPr>
          <w:rFonts w:ascii="Times" w:hAnsi="Times"/>
          <w:szCs w:val="22"/>
        </w:rPr>
        <w:t xml:space="preserve">There was no difference in fatty acid profiles among three treatments (400, 800, and 2800 µatm) (Figure </w:t>
      </w:r>
      <w:r w:rsidR="00363A7C">
        <w:rPr>
          <w:rFonts w:ascii="Times" w:hAnsi="Times"/>
          <w:szCs w:val="22"/>
        </w:rPr>
        <w:t>III.</w:t>
      </w:r>
      <w:r w:rsidRPr="00B14C1B">
        <w:rPr>
          <w:rFonts w:ascii="Times" w:hAnsi="Times"/>
          <w:szCs w:val="22"/>
        </w:rPr>
        <w:t xml:space="preserve">2).  The nonmetric multidimensional scaling (NMDS) approach shows the relative position of each oyster according to its entire fatty acid profile (i.e. oysters that are plotted close together have similar fatty acid profiles).  There is also no significant difference in total fatty acid per milligram tissue (data not shown).  Twenty-one fatty acid peaks were identified in the 24 samples, which is within the range of 16-35 fatty acids found in other studies of bivalves </w:t>
      </w:r>
      <w:r w:rsidRPr="00B14C1B">
        <w:rPr>
          <w:rFonts w:ascii="Times" w:hAnsi="Times"/>
          <w:szCs w:val="22"/>
        </w:rPr>
        <w:fldChar w:fldCharType="begin" w:fldLock="1"/>
      </w:r>
      <w:r w:rsidRPr="00B14C1B">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(Both et al., 2011; Milke et al., 2004; Pettersen et al., 2010; Soudant et al., 1999)</w:t>
      </w:r>
      <w:r w:rsidRPr="00B14C1B">
        <w:rPr>
          <w:rFonts w:ascii="Times" w:hAnsi="Times"/>
          <w:szCs w:val="22"/>
        </w:rPr>
        <w:fldChar w:fldCharType="end"/>
      </w:r>
      <w:r w:rsidRPr="00B14C1B">
        <w:rPr>
          <w:rFonts w:ascii="Times" w:hAnsi="Times"/>
          <w:szCs w:val="22"/>
        </w:rPr>
        <w:t>.  Among those fatty acids identified were 16:0; 18:0; 18:1n-9; 18:1n-7; 18:2n-6; ALA (18:3n-3); ARA (20:4n-6); EPA (20:5n-3); DPA (22:5n-6); n-3 DPA (22:5n-3); and DHA (22:6n-3).  Raw and normalized fatty acid data are available in Table S</w:t>
      </w:r>
      <w:r w:rsidR="00363A7C">
        <w:rPr>
          <w:rFonts w:ascii="Times" w:hAnsi="Times"/>
          <w:szCs w:val="22"/>
        </w:rPr>
        <w:t xml:space="preserve"> III.</w:t>
      </w:r>
      <w:r>
        <w:rPr>
          <w:rFonts w:ascii="Times" w:hAnsi="Times"/>
          <w:szCs w:val="22"/>
        </w:rPr>
        <w:t>1.</w:t>
      </w:r>
    </w:p>
    <w:p w14:paraId="6D943DC9" w14:textId="77777777" w:rsidR="00295E93" w:rsidRDefault="00295E93" w:rsidP="002A3DE3">
      <w:pPr>
        <w:rPr>
          <w:rFonts w:ascii="Times" w:hAnsi="Times"/>
          <w:szCs w:val="22"/>
        </w:rPr>
      </w:pPr>
    </w:p>
    <w:p w14:paraId="7FB33E8F" w14:textId="61381AB1" w:rsidR="002A3DE3" w:rsidRDefault="002A3DE3" w:rsidP="002A3DE3">
      <w:r>
        <w:rPr>
          <w:noProof/>
          <w:lang w:eastAsia="en-US"/>
        </w:rPr>
        <w:drawing>
          <wp:inline distT="0" distB="0" distL="0" distR="0" wp14:anchorId="697CBA40" wp14:editId="16FF072B">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0C2AA40" w14:textId="4064D12B"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r w:rsidRPr="002A3DE3">
        <w:rPr>
          <w:b/>
          <w:sz w:val="24"/>
          <w:szCs w:val="24"/>
        </w:rPr>
        <w:t>Non-metric multidimensional scaling (NMDS) analysis of fatty acid profiles for oysters from 400, 800 and 2800 µatm.</w:t>
      </w:r>
      <w:r w:rsidRPr="002A3DE3">
        <w:rPr>
          <w:sz w:val="24"/>
          <w:szCs w:val="24"/>
        </w:rPr>
        <w:t xml:space="preserve">  There are no differences in relative amounts of fatty acids among the three treatment groups.</w:t>
      </w:r>
    </w:p>
    <w:p w14:paraId="45924201" w14:textId="5DF8CE56" w:rsidR="00EF2726" w:rsidRDefault="00EF2726" w:rsidP="00EF2726">
      <w:pPr>
        <w:pStyle w:val="Heading3"/>
      </w:pPr>
      <w:bookmarkStart w:id="56" w:name="_Toc249155394"/>
      <w:r>
        <w:t>Heat shock response</w:t>
      </w:r>
      <w:bookmarkEnd w:id="56"/>
    </w:p>
    <w:p w14:paraId="15C0F573" w14:textId="52BAFB65" w:rsidR="002A3DE3" w:rsidRDefault="00295E93" w:rsidP="00295E93">
      <w:pPr>
        <w:spacing w:line="360" w:lineRule="auto"/>
        <w:ind w:firstLine="720"/>
      </w:pPr>
      <w:r w:rsidRPr="00B14C1B">
        <w:rPr>
          <w:rFonts w:ascii="Times" w:hAnsi="Times"/>
          <w:szCs w:val="22"/>
        </w:rPr>
        <w:t xml:space="preserve">There was no difference in mortality in response to heat shock due to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(p &gt; 0.05) (Figure </w:t>
      </w:r>
      <w:r w:rsidR="00363A7C">
        <w:rPr>
          <w:rFonts w:ascii="Times" w:hAnsi="Times"/>
          <w:szCs w:val="22"/>
        </w:rPr>
        <w:t>III.</w:t>
      </w:r>
      <w:r w:rsidRPr="00B14C1B">
        <w:rPr>
          <w:rFonts w:ascii="Times" w:hAnsi="Times"/>
          <w:szCs w:val="22"/>
        </w:rPr>
        <w:t>3).  There was a significant difference in mortality due to temperature (F = 78.5191, p = 6.0E-13) and day (F = 31.8392, p = 3.5E-7).  One hundred percent mortality (n = 8 oysters per temperature per treatment) occurred across all three treatments by day 5 post-heat shock at the lethal temperature (44°C).  There was no mortality by day 6 post-heat shock in the 42°C group (data not shown).</w:t>
      </w:r>
      <w:r w:rsidR="002A3DE3">
        <w:rPr>
          <w:noProof/>
          <w:lang w:eastAsia="en-US"/>
        </w:rPr>
        <w:drawing>
          <wp:inline distT="0" distB="0" distL="0" distR="0" wp14:anchorId="507397EA" wp14:editId="0AFE5EB1">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1">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5B836F0F" w14:textId="68353D33" w:rsidR="002A3DE3" w:rsidRPr="00EF2726" w:rsidRDefault="002A3DE3" w:rsidP="002A3DE3">
      <w:r w:rsidRPr="00A51D89">
        <w:rPr>
          <w:rFonts w:ascii="Times" w:hAnsi="Times"/>
        </w:rPr>
        <w:t xml:space="preserve">Figure </w:t>
      </w:r>
      <w:r w:rsidR="00295E93">
        <w:rPr>
          <w:rFonts w:ascii="Times" w:hAnsi="Times"/>
        </w:rPr>
        <w:t>III.</w:t>
      </w:r>
      <w:r w:rsidRPr="00A51D89">
        <w:rPr>
          <w:rFonts w:ascii="Times" w:hAnsi="Times"/>
        </w:rPr>
        <w:t xml:space="preserve">3. </w:t>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for 1 month - 400 µatm (blue), 800 µatm (green), 1000 µatm (yellow), 2800 µatm (orange).</w:t>
      </w:r>
    </w:p>
    <w:p w14:paraId="03A7F89A" w14:textId="2D10A165" w:rsidR="00EF2726" w:rsidRDefault="00EF2726" w:rsidP="00EF2726">
      <w:pPr>
        <w:pStyle w:val="Heading3"/>
      </w:pPr>
      <w:bookmarkStart w:id="57" w:name="_Toc249155395"/>
      <w:r>
        <w:t>Proteomics</w:t>
      </w:r>
      <w:bookmarkEnd w:id="57"/>
    </w:p>
    <w:p w14:paraId="5D4BE52C" w14:textId="52611C85" w:rsidR="00295E93" w:rsidRPr="00295E93" w:rsidRDefault="00295E93" w:rsidP="00295E93">
      <w:pPr>
        <w:pStyle w:val="normal0"/>
        <w:spacing w:line="360" w:lineRule="auto"/>
        <w:ind w:firstLine="720"/>
        <w:rPr>
          <w:rFonts w:ascii="Times" w:hAnsi="Times"/>
          <w:sz w:val="24"/>
        </w:rPr>
      </w:pPr>
      <w:r w:rsidRPr="00295E93">
        <w:rPr>
          <w:rFonts w:ascii="Times" w:hAnsi="Times"/>
          <w:sz w:val="24"/>
        </w:rPr>
        <w:t>After filtering, 700 733 peptides were considered for analysis corresponding to 1 616 proteins (Table S</w:t>
      </w:r>
      <w:r w:rsidR="00363A7C">
        <w:rPr>
          <w:rFonts w:ascii="Times" w:hAnsi="Times"/>
          <w:sz w:val="24"/>
        </w:rPr>
        <w:t xml:space="preserve"> III.</w:t>
      </w:r>
      <w:r w:rsidRPr="00295E93">
        <w:rPr>
          <w:rFonts w:ascii="Times" w:hAnsi="Times"/>
          <w:sz w:val="24"/>
        </w:rPr>
        <w:t>2, Table S</w:t>
      </w:r>
      <w:r w:rsidR="00363A7C">
        <w:rPr>
          <w:rFonts w:ascii="Times" w:hAnsi="Times"/>
          <w:sz w:val="24"/>
        </w:rPr>
        <w:t xml:space="preserve"> III.</w:t>
      </w:r>
      <w:r w:rsidRPr="00295E93">
        <w:rPr>
          <w:rFonts w:ascii="Times" w:hAnsi="Times"/>
          <w:sz w:val="24"/>
        </w:rPr>
        <w:t xml:space="preserve">3, Table </w:t>
      </w:r>
      <w:r w:rsidR="00363A7C">
        <w:rPr>
          <w:rFonts w:ascii="Times" w:hAnsi="Times"/>
          <w:sz w:val="24"/>
        </w:rPr>
        <w:t>III.</w:t>
      </w:r>
      <w:r w:rsidRPr="00295E93">
        <w:rPr>
          <w:rFonts w:ascii="Times" w:hAnsi="Times"/>
          <w:sz w:val="24"/>
        </w:rPr>
        <w:t>3).  Eighty-nine percent (1 449) of proteins were annotated using the UniProt-KB/SwissProt database and 77% (1 250) of those were further categorized with Gene Ontology information (Table S</w:t>
      </w:r>
      <w:r w:rsidR="00363A7C">
        <w:rPr>
          <w:rFonts w:ascii="Times" w:hAnsi="Times"/>
          <w:sz w:val="24"/>
        </w:rPr>
        <w:t xml:space="preserve"> III.</w:t>
      </w:r>
      <w:r w:rsidRPr="00295E93">
        <w:rPr>
          <w:rFonts w:ascii="Times" w:hAnsi="Times"/>
          <w:sz w:val="24"/>
        </w:rPr>
        <w:t xml:space="preserve">4).  </w:t>
      </w:r>
    </w:p>
    <w:p w14:paraId="43A3AB4A" w14:textId="77777777" w:rsidR="00295E93" w:rsidRPr="00295E93" w:rsidRDefault="00295E93" w:rsidP="00295E93">
      <w:pPr>
        <w:pStyle w:val="normal0"/>
        <w:spacing w:line="360" w:lineRule="auto"/>
        <w:rPr>
          <w:rFonts w:ascii="Times" w:hAnsi="Times"/>
          <w:sz w:val="24"/>
        </w:rPr>
      </w:pPr>
    </w:p>
    <w:p w14:paraId="78EF1BB5" w14:textId="764D35AE" w:rsidR="00295E93" w:rsidRPr="00295E93" w:rsidRDefault="00295E93" w:rsidP="00295E93">
      <w:pPr>
        <w:pStyle w:val="normal0"/>
        <w:spacing w:line="360" w:lineRule="auto"/>
        <w:rPr>
          <w:rFonts w:ascii="Times" w:hAnsi="Times"/>
          <w:sz w:val="24"/>
        </w:rPr>
      </w:pPr>
      <w:r w:rsidRPr="00295E93">
        <w:rPr>
          <w:rFonts w:ascii="Times" w:hAnsi="Times"/>
          <w:sz w:val="24"/>
        </w:rPr>
        <w:tab/>
        <w:t xml:space="preserve">Pairwise comparisons were made based on gill protein expression between 1) oysters held at 400 </w:t>
      </w:r>
      <w:bookmarkStart w:id="58" w:name="OLE_LINK1"/>
      <w:bookmarkStart w:id="59" w:name="OLE_LINK2"/>
      <w:r w:rsidRPr="00295E93">
        <w:rPr>
          <w:rFonts w:ascii="Times" w:hAnsi="Times"/>
          <w:sz w:val="24"/>
        </w:rPr>
        <w:t xml:space="preserve">µatm </w:t>
      </w:r>
      <w:bookmarkEnd w:id="58"/>
      <w:bookmarkEnd w:id="59"/>
      <w:r w:rsidRPr="00295E93">
        <w:rPr>
          <w:rFonts w:ascii="Times" w:hAnsi="Times"/>
          <w:sz w:val="24"/>
        </w:rPr>
        <w:t xml:space="preserve">versus oysters held at 2800 µatm, 2) </w:t>
      </w:r>
      <w:bookmarkStart w:id="60" w:name="OLE_LINK3"/>
      <w:bookmarkStart w:id="61" w:name="OLE_LINK4"/>
      <w:r w:rsidRPr="00295E93">
        <w:rPr>
          <w:rFonts w:ascii="Times" w:hAnsi="Times"/>
          <w:sz w:val="24"/>
        </w:rPr>
        <w:t xml:space="preserve">oysters held at 400 µatm versus oysters held at 400 µatm </w:t>
      </w:r>
      <w:bookmarkStart w:id="62" w:name="OLE_LINK5"/>
      <w:bookmarkStart w:id="63" w:name="OLE_LINK6"/>
      <w:r w:rsidRPr="00295E93">
        <w:rPr>
          <w:rFonts w:ascii="Times" w:hAnsi="Times"/>
          <w:sz w:val="24"/>
        </w:rPr>
        <w:t xml:space="preserve">subjected to </w:t>
      </w:r>
      <w:bookmarkEnd w:id="62"/>
      <w:bookmarkEnd w:id="63"/>
      <w:r w:rsidRPr="00295E93">
        <w:rPr>
          <w:rFonts w:ascii="Times" w:hAnsi="Times"/>
          <w:sz w:val="24"/>
        </w:rPr>
        <w:t>subsequent mechanical stress</w:t>
      </w:r>
      <w:bookmarkEnd w:id="60"/>
      <w:bookmarkEnd w:id="61"/>
      <w:r w:rsidRPr="00295E93">
        <w:rPr>
          <w:rFonts w:ascii="Times" w:hAnsi="Times"/>
          <w:sz w:val="24"/>
        </w:rPr>
        <w:t xml:space="preserve">, and 3) oysters held at 2800 µatm versus oysters held at 2800 µatm subjected to subsequent mechanical stress. When the proteomic response of oyster gill tissues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was examined compared to present day conditions, 64 proteins were identified as elevated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whereas 55 proteins were expressed at decreased levels (Figure </w:t>
      </w:r>
      <w:r w:rsidR="00363A7C">
        <w:rPr>
          <w:rFonts w:ascii="Times" w:hAnsi="Times"/>
          <w:sz w:val="24"/>
        </w:rPr>
        <w:t>III.</w:t>
      </w:r>
      <w:r w:rsidRPr="00295E93">
        <w:rPr>
          <w:rFonts w:ascii="Times" w:hAnsi="Times"/>
          <w:sz w:val="24"/>
        </w:rPr>
        <w:t>4A, Figure S</w:t>
      </w:r>
      <w:r w:rsidR="00363A7C">
        <w:rPr>
          <w:rFonts w:ascii="Times" w:hAnsi="Times"/>
          <w:sz w:val="24"/>
        </w:rPr>
        <w:t xml:space="preserve"> III.</w:t>
      </w:r>
      <w:r w:rsidRPr="00295E93">
        <w:rPr>
          <w:rFonts w:ascii="Times" w:hAnsi="Times"/>
          <w:sz w:val="24"/>
        </w:rPr>
        <w:t xml:space="preserve">2). </w:t>
      </w:r>
      <w:r w:rsidRPr="00295E93">
        <w:rPr>
          <w:rFonts w:ascii="Times" w:hAnsi="Times"/>
          <w:b/>
          <w:sz w:val="24"/>
        </w:rPr>
        <w:t xml:space="preserve"> </w:t>
      </w:r>
      <w:r w:rsidRPr="00295E93">
        <w:rPr>
          <w:rFonts w:ascii="Times" w:hAnsi="Times"/>
          <w:sz w:val="24"/>
        </w:rPr>
        <w:t>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and response to reactive oxygen species (i.e. glutathione S-transferase omega-1). Gene enrichment analysis revealed enriched proteins are associated with cell junction organization / assembly (i.e. contactin, talin) and morphogenesis (i.e. cadherin-23, Neurogenic locus notch homolog protein 1, Integrin β -PS) (Table S</w:t>
      </w:r>
      <w:r w:rsidR="00363A7C">
        <w:rPr>
          <w:rFonts w:ascii="Times" w:hAnsi="Times"/>
          <w:sz w:val="24"/>
        </w:rPr>
        <w:t xml:space="preserve"> III.</w:t>
      </w:r>
      <w:r w:rsidRPr="00295E93">
        <w:rPr>
          <w:rFonts w:ascii="Times" w:hAnsi="Times"/>
          <w:sz w:val="24"/>
        </w:rPr>
        <w:t xml:space="preserve">5).  </w:t>
      </w:r>
    </w:p>
    <w:p w14:paraId="0806E931" w14:textId="320E61C5"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Ninety-nine proteins were differentially expressed upon mechanical stress exposure at 400 µatm. Forty-seven were elevated under mechanical stress and 52 proteins were expressed at a lower level (Figure </w:t>
      </w:r>
      <w:r w:rsidR="00363A7C">
        <w:rPr>
          <w:rFonts w:ascii="Times" w:hAnsi="Times"/>
          <w:sz w:val="24"/>
        </w:rPr>
        <w:t>III.</w:t>
      </w:r>
      <w:r w:rsidRPr="00295E93">
        <w:rPr>
          <w:rFonts w:ascii="Times" w:hAnsi="Times"/>
          <w:sz w:val="24"/>
        </w:rPr>
        <w:t>4B, Figure S</w:t>
      </w:r>
      <w:r w:rsidR="00363A7C">
        <w:rPr>
          <w:rFonts w:ascii="Times" w:hAnsi="Times"/>
          <w:sz w:val="24"/>
        </w:rPr>
        <w:t xml:space="preserve"> III.</w:t>
      </w:r>
      <w:r w:rsidRPr="00295E93">
        <w:rPr>
          <w:rFonts w:ascii="Times" w:hAnsi="Times"/>
          <w:sz w:val="24"/>
        </w:rPr>
        <w:t>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No significantly enriched biological processes were identified</w:t>
      </w:r>
      <w:r w:rsidRPr="00295E93">
        <w:rPr>
          <w:rFonts w:ascii="Times" w:hAnsi="Times"/>
          <w:b/>
          <w:sz w:val="24"/>
        </w:rPr>
        <w:t xml:space="preserve"> </w:t>
      </w:r>
      <w:r w:rsidRPr="00295E93">
        <w:rPr>
          <w:rFonts w:ascii="Times" w:hAnsi="Times"/>
          <w:sz w:val="24"/>
        </w:rPr>
        <w:t xml:space="preserve">in response to mechanical stress at 400 µatm.  </w:t>
      </w:r>
    </w:p>
    <w:p w14:paraId="0C2CA8CA" w14:textId="088C6D94"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Seventy proteins were elevated when oysters held at 2800 µatm were subjected to mechanical stress, and 53 proteins were expressed at decreased levels (Figure </w:t>
      </w:r>
      <w:r w:rsidR="00363A7C">
        <w:rPr>
          <w:rFonts w:ascii="Times" w:hAnsi="Times"/>
          <w:sz w:val="24"/>
        </w:rPr>
        <w:t>III.</w:t>
      </w:r>
      <w:r w:rsidRPr="00295E93">
        <w:rPr>
          <w:rFonts w:ascii="Times" w:hAnsi="Times"/>
          <w:sz w:val="24"/>
        </w:rPr>
        <w:t>4C, Figure S</w:t>
      </w:r>
      <w:r w:rsidR="00363A7C">
        <w:rPr>
          <w:rFonts w:ascii="Times" w:hAnsi="Times"/>
          <w:sz w:val="24"/>
        </w:rPr>
        <w:t xml:space="preserve"> III.</w:t>
      </w:r>
      <w:r w:rsidRPr="00295E93">
        <w:rPr>
          <w:rFonts w:ascii="Times" w:hAnsi="Times"/>
          <w:sz w:val="24"/>
        </w:rPr>
        <w:t>2).  Polysaccharide and monosaccharide metabolism processes were affected by mechanical stress as evidenced by their enrichment in this treatment, resulting from the differential expression of proteins including β -hexosaminidase subunit β, Lysosomal α-glucosidase, putative glycogen [starch] synthase, Glycogenin-1, α-L-fucosidase, 6-phosphogluconolactonase, 60 kDa SS-A/Ro ribonucleoprotein, and N-acetylgalactosamine kinase (Table S</w:t>
      </w:r>
      <w:r w:rsidR="00363A7C">
        <w:rPr>
          <w:rFonts w:ascii="Times" w:hAnsi="Times"/>
          <w:sz w:val="24"/>
        </w:rPr>
        <w:t xml:space="preserve"> III.</w:t>
      </w:r>
      <w:r w:rsidRPr="00295E93">
        <w:rPr>
          <w:rFonts w:ascii="Times" w:hAnsi="Times"/>
          <w:sz w:val="24"/>
        </w:rPr>
        <w:t>3).  Differentially expressed proteins included those involved in response to reactive oxygen species (i.e. glutathione S-transferase Mu 3 and dual oxidase 2) and apoptosis (i.e. caspase-7 and engulfment cell motility protein 2). Similar biological processes as those identified in the response to ocean acidification alone were also enriched in this comparison, including cell junction organization / assembly (i.e. neurexin-4, talin-1, contactin) and tissue morphogenesis (i.e. lysosomal α-glucosidase, tyrosine-protein kinase Btk29A) (Table S</w:t>
      </w:r>
      <w:r w:rsidR="00363A7C">
        <w:rPr>
          <w:rFonts w:ascii="Times" w:hAnsi="Times"/>
          <w:sz w:val="24"/>
        </w:rPr>
        <w:t xml:space="preserve"> III.</w:t>
      </w:r>
      <w:r w:rsidRPr="00295E93">
        <w:rPr>
          <w:rFonts w:ascii="Times" w:hAnsi="Times"/>
          <w:sz w:val="24"/>
        </w:rPr>
        <w:t>5).</w:t>
      </w:r>
    </w:p>
    <w:p w14:paraId="0B9E2E2F" w14:textId="56322896" w:rsidR="00EF2726" w:rsidRDefault="00EF2726" w:rsidP="00EF2726">
      <w:pPr>
        <w:ind w:firstLine="720"/>
        <w:rPr>
          <w:rFonts w:ascii="Times" w:hAnsi="Times"/>
        </w:rPr>
      </w:pPr>
    </w:p>
    <w:p w14:paraId="02C6F453" w14:textId="77777777" w:rsidR="002A3DE3" w:rsidRDefault="002A3DE3" w:rsidP="00EF2726">
      <w:pPr>
        <w:ind w:firstLine="720"/>
        <w:rPr>
          <w:rFonts w:ascii="Times" w:hAnsi="Times"/>
        </w:rPr>
      </w:pPr>
    </w:p>
    <w:p w14:paraId="62111526" w14:textId="1EF78305"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Total number of proteins identified for each oyster across all three technical replicates with numbers of proteins for each individual technical replicate in parentheses.  Number of proteins shared among all three technical replicates (with percentage of total) are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310A0F1C" w14:textId="77777777" w:rsidTr="00426D9F">
        <w:tc>
          <w:tcPr>
            <w:tcW w:w="3192" w:type="dxa"/>
          </w:tcPr>
          <w:p w14:paraId="2F3BD2AC"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250DD5B8"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1ECCC764"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266EFE0" w14:textId="77777777" w:rsidTr="00426D9F">
        <w:tc>
          <w:tcPr>
            <w:tcW w:w="3192" w:type="dxa"/>
          </w:tcPr>
          <w:p w14:paraId="69F27F75"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710A6FD"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74E2F892"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57D4A9A" w14:textId="77777777" w:rsidTr="00426D9F">
        <w:tc>
          <w:tcPr>
            <w:tcW w:w="3192" w:type="dxa"/>
          </w:tcPr>
          <w:p w14:paraId="020D4184"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51970FF6"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2B4C3440"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5F4D3FD0" w14:textId="77777777" w:rsidTr="00426D9F">
        <w:tc>
          <w:tcPr>
            <w:tcW w:w="3192" w:type="dxa"/>
          </w:tcPr>
          <w:p w14:paraId="52A3B722"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6DB56E3D"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645300A9"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4CDA0431" w14:textId="77777777" w:rsidTr="00426D9F">
        <w:tc>
          <w:tcPr>
            <w:tcW w:w="3192" w:type="dxa"/>
          </w:tcPr>
          <w:p w14:paraId="31960866"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63CCF1DE"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4867B00F"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13997506" w14:textId="77777777" w:rsidTr="00426D9F">
        <w:tc>
          <w:tcPr>
            <w:tcW w:w="3192" w:type="dxa"/>
          </w:tcPr>
          <w:p w14:paraId="62DFB659"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3B635969"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6D69EC4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765A5D86" w14:textId="77777777" w:rsidTr="00426D9F">
        <w:tc>
          <w:tcPr>
            <w:tcW w:w="3192" w:type="dxa"/>
          </w:tcPr>
          <w:p w14:paraId="012B20F4"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6E9BE5D6"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DCD4198"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11CD1305" w14:textId="77777777" w:rsidTr="00426D9F">
        <w:tc>
          <w:tcPr>
            <w:tcW w:w="3192" w:type="dxa"/>
          </w:tcPr>
          <w:p w14:paraId="03C2E0E2"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6639F3AC"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584608D1"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23ECE42D" w14:textId="77777777" w:rsidTr="00426D9F">
        <w:tc>
          <w:tcPr>
            <w:tcW w:w="3192" w:type="dxa"/>
          </w:tcPr>
          <w:p w14:paraId="035F592C"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7BECA2DB"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0309C67"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5D764773" w14:textId="77777777" w:rsidTr="00426D9F">
        <w:tc>
          <w:tcPr>
            <w:tcW w:w="3192" w:type="dxa"/>
          </w:tcPr>
          <w:p w14:paraId="51FA5422"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0B7A88A0"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76D827A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0782593C" w14:textId="77777777" w:rsidTr="00426D9F">
        <w:tc>
          <w:tcPr>
            <w:tcW w:w="3192" w:type="dxa"/>
          </w:tcPr>
          <w:p w14:paraId="1D9FE484"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1A0E5859"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3360113E"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7A8D7C5D" w14:textId="77777777" w:rsidTr="00426D9F">
        <w:tc>
          <w:tcPr>
            <w:tcW w:w="3192" w:type="dxa"/>
          </w:tcPr>
          <w:p w14:paraId="2EA600E1"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317C866A"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113D5FB6"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145C1294" w14:textId="77777777" w:rsidTr="00426D9F">
        <w:tc>
          <w:tcPr>
            <w:tcW w:w="3192" w:type="dxa"/>
          </w:tcPr>
          <w:p w14:paraId="20E90548"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267C5A9F"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BAD59D6"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4CFC6EC7" w14:textId="77777777" w:rsidTr="00426D9F">
        <w:tc>
          <w:tcPr>
            <w:tcW w:w="3192" w:type="dxa"/>
          </w:tcPr>
          <w:p w14:paraId="2B417535"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093A4A00"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1C358A04"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28AF244" w14:textId="77777777" w:rsidTr="00426D9F">
        <w:tc>
          <w:tcPr>
            <w:tcW w:w="3192" w:type="dxa"/>
          </w:tcPr>
          <w:p w14:paraId="0B32B265"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32F287F6"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1D56B5D8"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08698C83" w14:textId="77777777" w:rsidTr="00426D9F">
        <w:tc>
          <w:tcPr>
            <w:tcW w:w="3192" w:type="dxa"/>
          </w:tcPr>
          <w:p w14:paraId="477CE987"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1E17BD2E"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0FC15F16"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3526D61D" w14:textId="77777777" w:rsidTr="00426D9F">
        <w:tc>
          <w:tcPr>
            <w:tcW w:w="3192" w:type="dxa"/>
          </w:tcPr>
          <w:p w14:paraId="544035EF"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3E620271"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5104831D"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52C6C9E2" w14:textId="77777777" w:rsidR="002A3DE3" w:rsidRDefault="002A3DE3" w:rsidP="002A3DE3">
      <w:pPr>
        <w:rPr>
          <w:rFonts w:ascii="Times" w:hAnsi="Times"/>
        </w:rPr>
      </w:pPr>
    </w:p>
    <w:p w14:paraId="2DF0E390" w14:textId="4948A8C3" w:rsidR="002A3DE3" w:rsidRDefault="00295E93" w:rsidP="002A3DE3">
      <w:pPr>
        <w:rPr>
          <w:rFonts w:ascii="Times" w:hAnsi="Times"/>
        </w:rPr>
      </w:pPr>
      <w:r>
        <w:rPr>
          <w:rFonts w:ascii="Times" w:hAnsi="Times"/>
          <w:noProof/>
          <w:lang w:eastAsia="en-US"/>
        </w:rPr>
        <w:drawing>
          <wp:inline distT="0" distB="0" distL="0" distR="0" wp14:anchorId="037F2818" wp14:editId="2846C54C">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16AC2736" w14:textId="2853F266"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protein expression values (log([normalized spectral abundance factor]*10000)) for experiments designed to examine the influence of ocean acidification (A), mechanical stress at 400 µatm (B), and mechanical stress at 2800 µatm (C).</w:t>
      </w:r>
    </w:p>
    <w:p w14:paraId="44653257" w14:textId="77777777" w:rsidR="002A3DE3" w:rsidRDefault="002A3DE3" w:rsidP="002A3DE3">
      <w:pPr>
        <w:rPr>
          <w:rFonts w:ascii="Times" w:hAnsi="Times"/>
        </w:rPr>
      </w:pPr>
    </w:p>
    <w:p w14:paraId="2C169F2F" w14:textId="53F77FF8" w:rsidR="00295E93" w:rsidRPr="00295E93" w:rsidRDefault="00295E93" w:rsidP="00295E93">
      <w:pPr>
        <w:pStyle w:val="normal0"/>
        <w:spacing w:line="360" w:lineRule="auto"/>
        <w:ind w:firstLine="720"/>
        <w:rPr>
          <w:rFonts w:ascii="Times" w:hAnsi="Times"/>
          <w:sz w:val="24"/>
          <w:vertAlign w:val="subscript"/>
        </w:rPr>
      </w:pPr>
      <w:r w:rsidRPr="00295E93">
        <w:rPr>
          <w:rFonts w:ascii="Times" w:hAnsi="Times"/>
          <w:sz w:val="24"/>
        </w:rPr>
        <w:t xml:space="preserve">The magnitude of the proteomic responses in the three different between-treatment comparisons was similar (99-123 differentially expressed proteins), though certain proteins were treatment specific (Figure </w:t>
      </w:r>
      <w:r w:rsidR="00363A7C">
        <w:rPr>
          <w:rFonts w:ascii="Times" w:hAnsi="Times"/>
          <w:sz w:val="24"/>
        </w:rPr>
        <w:t>III.</w:t>
      </w:r>
      <w:r w:rsidRPr="00295E93">
        <w:rPr>
          <w:rFonts w:ascii="Times" w:hAnsi="Times"/>
          <w:sz w:val="24"/>
        </w:rPr>
        <w:t xml:space="preserve">5).  In addition, for those proteins identified as differentially expressed in more than one comparison, the directional responses of that protein to each treatment often diverged.   For example, proteins in the carbohydrate metabolism and cell growth and apoptosis pathways responded differently across the three comparisons (Figures </w:t>
      </w:r>
      <w:r w:rsidR="00363A7C">
        <w:rPr>
          <w:rFonts w:ascii="Times" w:hAnsi="Times"/>
          <w:sz w:val="24"/>
        </w:rPr>
        <w:t>III.</w:t>
      </w:r>
      <w:r w:rsidRPr="00295E93">
        <w:rPr>
          <w:rFonts w:ascii="Times" w:hAnsi="Times"/>
          <w:sz w:val="24"/>
        </w:rPr>
        <w:t xml:space="preserve">6A, B).  These proteomic profile discrepancies were the most dramatic in a comparison between the responses to ocean acidification and to mechanical stimulation at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All 46 differentially expressed proteins shared between these two responses were expressed in opposing directions (Figures </w:t>
      </w:r>
      <w:r w:rsidR="00363A7C">
        <w:rPr>
          <w:rFonts w:ascii="Times" w:hAnsi="Times"/>
          <w:sz w:val="24"/>
        </w:rPr>
        <w:t>III.</w:t>
      </w:r>
      <w:r w:rsidRPr="00295E93">
        <w:rPr>
          <w:rFonts w:ascii="Times" w:hAnsi="Times"/>
          <w:sz w:val="24"/>
        </w:rPr>
        <w:t>6A, B, Table S</w:t>
      </w:r>
      <w:r w:rsidR="00363A7C">
        <w:rPr>
          <w:rFonts w:ascii="Times" w:hAnsi="Times"/>
          <w:sz w:val="24"/>
        </w:rPr>
        <w:t xml:space="preserve"> III.</w:t>
      </w:r>
      <w:r w:rsidRPr="00295E93">
        <w:rPr>
          <w:rFonts w:ascii="Times" w:hAnsi="Times"/>
          <w:sz w:val="24"/>
        </w:rPr>
        <w:t>3 and Figure S</w:t>
      </w:r>
      <w:r w:rsidR="00363A7C">
        <w:rPr>
          <w:rFonts w:ascii="Times" w:hAnsi="Times"/>
          <w:sz w:val="24"/>
        </w:rPr>
        <w:t xml:space="preserve"> III.</w:t>
      </w:r>
      <w:r w:rsidRPr="00295E93">
        <w:rPr>
          <w:rFonts w:ascii="Times" w:hAnsi="Times"/>
          <w:sz w:val="24"/>
        </w:rPr>
        <w:t>2).</w:t>
      </w:r>
    </w:p>
    <w:p w14:paraId="3F1CDBBE" w14:textId="0E1DE63E" w:rsidR="00EF2726" w:rsidRPr="00EF2726" w:rsidRDefault="00EF2726" w:rsidP="00EF2726">
      <w:pPr>
        <w:pStyle w:val="normal0"/>
        <w:spacing w:line="240" w:lineRule="auto"/>
        <w:ind w:firstLine="720"/>
        <w:rPr>
          <w:rFonts w:ascii="Times" w:hAnsi="Times"/>
          <w:sz w:val="24"/>
          <w:vertAlign w:val="subscript"/>
        </w:rPr>
      </w:pPr>
    </w:p>
    <w:p w14:paraId="5EF02DE0" w14:textId="77777777" w:rsidR="00EF2726" w:rsidRDefault="00EF2726" w:rsidP="002A3DE3"/>
    <w:p w14:paraId="1E3CE5C7" w14:textId="57527434" w:rsidR="002A3DE3" w:rsidRDefault="002A3DE3" w:rsidP="002A3DE3">
      <w:r>
        <w:rPr>
          <w:noProof/>
          <w:lang w:eastAsia="en-US"/>
        </w:rPr>
        <w:drawing>
          <wp:inline distT="0" distB="0" distL="0" distR="0" wp14:anchorId="1140CDAE" wp14:editId="0A0B6CFC">
            <wp:extent cx="4280535" cy="314500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33">
                      <a:extLst>
                        <a:ext uri="{28A0092B-C50C-407E-A947-70E740481C1C}">
                          <a14:useLocalDpi xmlns:a14="http://schemas.microsoft.com/office/drawing/2010/main" val="0"/>
                        </a:ext>
                      </a:extLst>
                    </a:blip>
                    <a:stretch>
                      <a:fillRect/>
                    </a:stretch>
                  </pic:blipFill>
                  <pic:spPr>
                    <a:xfrm>
                      <a:off x="0" y="0"/>
                      <a:ext cx="4280535" cy="3145004"/>
                    </a:xfrm>
                    <a:prstGeom prst="rect">
                      <a:avLst/>
                    </a:prstGeom>
                  </pic:spPr>
                </pic:pic>
              </a:graphicData>
            </a:graphic>
          </wp:inline>
        </w:drawing>
      </w:r>
    </w:p>
    <w:p w14:paraId="7360A5FB" w14:textId="7AE58C90"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5DCC955A" w14:textId="77777777" w:rsidR="002A3DE3" w:rsidRDefault="002A3DE3" w:rsidP="002A3DE3"/>
    <w:p w14:paraId="3B00E770" w14:textId="2FEC9FD7" w:rsidR="002A3DE3" w:rsidRDefault="002A3DE3" w:rsidP="002A3DE3">
      <w:r>
        <w:rPr>
          <w:noProof/>
          <w:lang w:eastAsia="en-US"/>
        </w:rPr>
        <w:drawing>
          <wp:inline distT="0" distB="0" distL="0" distR="0" wp14:anchorId="23BCC8F5" wp14:editId="69E4EB3A">
            <wp:extent cx="2633576" cy="2555240"/>
            <wp:effectExtent l="0" t="0" r="825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jpg"/>
                    <pic:cNvPicPr/>
                  </pic:nvPicPr>
                  <pic:blipFill>
                    <a:blip r:embed="rId34">
                      <a:extLst>
                        <a:ext uri="{28A0092B-C50C-407E-A947-70E740481C1C}">
                          <a14:useLocalDpi xmlns:a14="http://schemas.microsoft.com/office/drawing/2010/main" val="0"/>
                        </a:ext>
                      </a:extLst>
                    </a:blip>
                    <a:stretch>
                      <a:fillRect/>
                    </a:stretch>
                  </pic:blipFill>
                  <pic:spPr>
                    <a:xfrm>
                      <a:off x="0" y="0"/>
                      <a:ext cx="2633809" cy="2555466"/>
                    </a:xfrm>
                    <a:prstGeom prst="rect">
                      <a:avLst/>
                    </a:prstGeom>
                  </pic:spPr>
                </pic:pic>
              </a:graphicData>
            </a:graphic>
          </wp:inline>
        </w:drawing>
      </w:r>
    </w:p>
    <w:p w14:paraId="0E210004" w14:textId="5F583F8F" w:rsidR="002A3DE3" w:rsidRDefault="002A3DE3" w:rsidP="002A3DE3">
      <w:r>
        <w:rPr>
          <w:noProof/>
          <w:lang w:eastAsia="en-US"/>
        </w:rPr>
        <w:drawing>
          <wp:inline distT="0" distB="0" distL="0" distR="0" wp14:anchorId="578B40F7" wp14:editId="30D0B71D">
            <wp:extent cx="5486400" cy="1990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1990090"/>
                    </a:xfrm>
                    <a:prstGeom prst="rect">
                      <a:avLst/>
                    </a:prstGeom>
                  </pic:spPr>
                </pic:pic>
              </a:graphicData>
            </a:graphic>
          </wp:inline>
        </w:drawing>
      </w:r>
    </w:p>
    <w:p w14:paraId="520D9D90" w14:textId="534E5CE2" w:rsidR="002A3DE3" w:rsidRPr="00EF2726" w:rsidRDefault="002A3DE3" w:rsidP="002A3DE3">
      <w:r>
        <w:t xml:space="preserve">Figure </w:t>
      </w:r>
      <w:r w:rsidR="00295E93">
        <w:t>III.</w:t>
      </w:r>
      <w:r>
        <w:t xml:space="preserve">6.  </w:t>
      </w:r>
      <w:r w:rsidRPr="002A3DE3">
        <w:rPr>
          <w:rFonts w:ascii="Times" w:hAnsi="Times"/>
          <w:b/>
        </w:rPr>
        <w:t>Cartoon</w:t>
      </w:r>
      <w:r w:rsidRPr="002A3DE3">
        <w:rPr>
          <w:rFonts w:ascii="Times" w:hAnsi="Times"/>
        </w:rPr>
        <w:t xml:space="preserve"> </w:t>
      </w:r>
      <w:r w:rsidRPr="002A3DE3">
        <w:rPr>
          <w:rFonts w:ascii="Times" w:hAnsi="Times"/>
          <w:b/>
        </w:rPr>
        <w:t>representation of key molecular changes that occur in response to different stressors.</w:t>
      </w:r>
      <w:r w:rsidRPr="002A3DE3">
        <w:rPr>
          <w:rFonts w:ascii="Times" w:hAnsi="Times"/>
        </w:rPr>
        <w:t xml:space="preserve">  Responses to (A) ocean acidification and to (B) mechanical stress at the two different pCO</w:t>
      </w:r>
      <w:r w:rsidRPr="002A3DE3">
        <w:rPr>
          <w:rFonts w:ascii="Times" w:hAnsi="Times"/>
          <w:vertAlign w:val="subscript"/>
        </w:rPr>
        <w:t xml:space="preserve">2 </w:t>
      </w:r>
      <w:r w:rsidRPr="002A3DE3">
        <w:rPr>
          <w:rFonts w:ascii="Times" w:hAnsi="Times"/>
        </w:rPr>
        <w:t>levels are depicted separately.  Green or blue ellipses represent greater or decreased expression of protein(s) in the indicated pathway, respectively.  Processes are in all capital letters and organelles are in italics.  Processes are labeled generally and specific protein information can be found in supplementary material Table S4.  “ETC” stands for electron transport chain.</w:t>
      </w:r>
    </w:p>
    <w:p w14:paraId="1187189E" w14:textId="77777777" w:rsidR="00C02D9B" w:rsidRDefault="00C02D9B" w:rsidP="00C02D9B">
      <w:pPr>
        <w:pStyle w:val="Heading2"/>
      </w:pPr>
      <w:bookmarkStart w:id="64" w:name="_Toc249155396"/>
      <w:r>
        <w:t>Discussion</w:t>
      </w:r>
      <w:bookmarkEnd w:id="64"/>
    </w:p>
    <w:p w14:paraId="3F4398A8"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Pr="00295E93">
        <w:rPr>
          <w:rFonts w:ascii="Times" w:hAnsi="Times"/>
          <w:sz w:val="24"/>
        </w:rPr>
        <w:fldChar w:fldCharType="begin" w:fldLock="1"/>
      </w:r>
      <w:r w:rsidRPr="00295E93">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(e.g. Kroeker et al., 2013; Kroeker et al., 2010)</w:t>
      </w:r>
      <w:r w:rsidRPr="00295E93">
        <w:rPr>
          <w:rFonts w:ascii="Times" w:hAnsi="Times"/>
          <w:sz w:val="24"/>
        </w:rPr>
        <w:fldChar w:fldCharType="end"/>
      </w:r>
      <w:r w:rsidRPr="00295E93">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1F443CB3" w14:textId="77777777" w:rsidR="00295E93" w:rsidRPr="00295E93" w:rsidRDefault="00295E93" w:rsidP="00295E93">
      <w:pPr>
        <w:pStyle w:val="normal0"/>
        <w:spacing w:line="360" w:lineRule="auto"/>
        <w:rPr>
          <w:rFonts w:ascii="Times" w:hAnsi="Times"/>
          <w:sz w:val="24"/>
        </w:rPr>
      </w:pPr>
    </w:p>
    <w:p w14:paraId="17D96670" w14:textId="77777777" w:rsidR="00295E93" w:rsidRPr="00295E93" w:rsidRDefault="00295E93" w:rsidP="00295E93">
      <w:pPr>
        <w:pStyle w:val="normal0"/>
        <w:spacing w:line="360" w:lineRule="auto"/>
        <w:rPr>
          <w:rFonts w:ascii="Times" w:hAnsi="Times"/>
          <w:sz w:val="24"/>
        </w:rPr>
      </w:pPr>
      <w:r w:rsidRPr="00295E93">
        <w:rPr>
          <w:rFonts w:ascii="Times" w:hAnsi="Times"/>
          <w:sz w:val="24"/>
        </w:rPr>
        <w:t xml:space="preserve"> </w:t>
      </w:r>
      <w:r w:rsidRPr="00295E93">
        <w:rPr>
          <w:rFonts w:ascii="Times" w:hAnsi="Times"/>
          <w:sz w:val="24"/>
        </w:rPr>
        <w:tab/>
        <w:t xml:space="preserve">Relative shell growth was not impacted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After six weeks, mussel (</w:t>
      </w:r>
      <w:r w:rsidRPr="00295E93">
        <w:rPr>
          <w:rFonts w:ascii="Times" w:hAnsi="Times"/>
          <w:i/>
          <w:sz w:val="24"/>
        </w:rPr>
        <w:t>Mytilus edulis</w:t>
      </w:r>
      <w:r w:rsidRPr="00295E93">
        <w:rPr>
          <w:rFonts w:ascii="Times" w:hAnsi="Times"/>
          <w:sz w:val="24"/>
        </w:rPr>
        <w:t xml:space="preserve">) shell length growth was negatively impacted by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2400 and 4000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(Melzner et al., 2011)</w:t>
      </w:r>
      <w:r w:rsidRPr="00295E93">
        <w:rPr>
          <w:rFonts w:ascii="Times" w:hAnsi="Times"/>
          <w:sz w:val="24"/>
        </w:rPr>
        <w:fldChar w:fldCharType="end"/>
      </w:r>
      <w:r w:rsidRPr="00295E93">
        <w:rPr>
          <w:rFonts w:ascii="Times" w:hAnsi="Times"/>
          <w:sz w:val="24"/>
        </w:rPr>
        <w:t xml:space="preserve">.  Juvenile oysters, </w:t>
      </w:r>
      <w:r w:rsidRPr="00295E93">
        <w:rPr>
          <w:rFonts w:ascii="Times" w:hAnsi="Times"/>
          <w:i/>
          <w:sz w:val="24"/>
        </w:rPr>
        <w:t>Crassostrea virginica</w:t>
      </w:r>
      <w:r w:rsidRPr="00295E93">
        <w:rPr>
          <w:rFonts w:ascii="Times" w:hAnsi="Times"/>
          <w:sz w:val="24"/>
        </w:rPr>
        <w:t xml:space="preserve">, also showed lower shell mass after 45 days at 1 665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(Talmage and Gobler, 2011)</w:t>
      </w:r>
      <w:r w:rsidRPr="00295E93">
        <w:rPr>
          <w:rFonts w:ascii="Times" w:hAnsi="Times"/>
          <w:sz w:val="24"/>
        </w:rPr>
        <w:fldChar w:fldCharType="end"/>
      </w:r>
      <w:r w:rsidRPr="00295E93">
        <w:rPr>
          <w:rFonts w:ascii="Times" w:hAnsi="Times"/>
          <w:sz w:val="24"/>
        </w:rPr>
        <w:t xml:space="preserve"> and after a 20 week exposure at 3 523 µatm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w:t>
      </w:r>
      <w:r w:rsidRPr="00295E93">
        <w:rPr>
          <w:rFonts w:ascii="Times" w:hAnsi="Times"/>
          <w:sz w:val="24"/>
        </w:rPr>
        <w:fldChar w:fldCharType="end"/>
      </w:r>
      <w:r w:rsidRPr="00295E93">
        <w:rPr>
          <w:rFonts w:ascii="Times" w:hAnsi="Times"/>
          <w:sz w:val="24"/>
        </w:rPr>
        <w:t xml:space="preserve">.  Based on these data we might expect to see differences in shell growth if exposure was continued for a longer period of time.  In addition to the duration of exposure, level of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also be an important factor in effects observed on shell growth.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in fact prompt an over-compensation in terms of shell deposition. For instance, hard shell clams, </w:t>
      </w:r>
      <w:r w:rsidRPr="00295E93">
        <w:rPr>
          <w:rFonts w:ascii="Times" w:hAnsi="Times"/>
          <w:i/>
          <w:sz w:val="24"/>
        </w:rPr>
        <w:t>Mercenaria mercenaria</w:t>
      </w:r>
      <w:r w:rsidRPr="00295E93">
        <w:rPr>
          <w:rFonts w:ascii="Times" w:hAnsi="Times"/>
          <w:sz w:val="24"/>
        </w:rPr>
        <w:t xml:space="preserve">, had higher shell mass at moderately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800 µatm) after 16 and 21 weeks of exposure, but no significant difference in shell mass between the control treatment and highly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1500 µatm) was observed </w:t>
      </w:r>
      <w:r w:rsidRPr="00295E93">
        <w:rPr>
          <w:rFonts w:ascii="Times" w:hAnsi="Times"/>
          <w:sz w:val="24"/>
        </w:rPr>
        <w:fldChar w:fldCharType="begin" w:fldLock="1"/>
      </w:r>
      <w:r w:rsidRPr="00295E93">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w:t>
      </w:r>
      <w:r w:rsidRPr="00295E93">
        <w:rPr>
          <w:rFonts w:ascii="Times" w:hAnsi="Times"/>
          <w:sz w:val="24"/>
        </w:rPr>
        <w:fldChar w:fldCharType="end"/>
      </w:r>
      <w:r w:rsidRPr="00295E93">
        <w:rPr>
          <w:rFonts w:ascii="Times" w:hAnsi="Times"/>
          <w:sz w:val="24"/>
        </w:rPr>
        <w:t xml:space="preserve">.  At least some of the variability in the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shell growth is likely due to intra- and interspecies differences in population history of exposure to low pH events.  </w:t>
      </w:r>
    </w:p>
    <w:p w14:paraId="0A3B8E23" w14:textId="77777777" w:rsidR="00295E93" w:rsidRPr="00295E93" w:rsidRDefault="00295E93" w:rsidP="00295E93">
      <w:pPr>
        <w:pStyle w:val="normal0"/>
        <w:spacing w:line="360" w:lineRule="auto"/>
        <w:rPr>
          <w:rFonts w:ascii="Times" w:hAnsi="Times"/>
          <w:sz w:val="24"/>
        </w:rPr>
      </w:pPr>
    </w:p>
    <w:p w14:paraId="29C89814"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Given that shell growth persisted in all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we were able to perform mechanical testing on new shell that was deposited. Shell microhardness and fracture toughness were both affected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Microhardness, a measure of a material’s resistance to deformation, was reduced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(1000 µatm) as compared to the control (400 µatm), whereas fracture toughness, a measure of the propensity for cracks to propagate within a material, was reduced only at 2800 µatm.  Given that both measurements depend on the microstructural arrangement of the shell and the extent and distribution of elastic elements within the shell (i.e. the shell organic matrix) </w:t>
      </w:r>
      <w:r w:rsidRPr="00295E93">
        <w:rPr>
          <w:rFonts w:ascii="Times" w:hAnsi="Times"/>
          <w:sz w:val="24"/>
        </w:rPr>
        <w:fldChar w:fldCharType="begin" w:fldLock="1"/>
      </w:r>
      <w:r w:rsidRPr="00295E93">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(Lee et al., 2008)</w:t>
      </w:r>
      <w:r w:rsidRPr="00295E93">
        <w:rPr>
          <w:rFonts w:ascii="Times" w:hAnsi="Times"/>
          <w:sz w:val="24"/>
        </w:rPr>
        <w:fldChar w:fldCharType="end"/>
      </w:r>
      <w:r w:rsidRPr="00295E93">
        <w:rPr>
          <w:rFonts w:ascii="Times" w:hAnsi="Times"/>
          <w:sz w:val="24"/>
        </w:rPr>
        <w:t xml:space="preserve">,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may lead to dose-dependent differences in the structure and/or composition of newly formed shell. Such changes could result either from alterations in the physiology of shell deposition or the ability to prevent dissolution under varying seawater hydrochemistry. In the current study, changes to micromechanical properties were detected at both Ω</w:t>
      </w:r>
      <w:r w:rsidRPr="00295E93">
        <w:rPr>
          <w:rFonts w:ascii="Times" w:hAnsi="Times"/>
          <w:sz w:val="24"/>
          <w:vertAlign w:val="subscript"/>
        </w:rPr>
        <w:t xml:space="preserve">calcite </w:t>
      </w:r>
      <w:r w:rsidRPr="00295E93">
        <w:rPr>
          <w:rFonts w:ascii="Times" w:hAnsi="Times"/>
          <w:sz w:val="24"/>
        </w:rPr>
        <w:t>(Ω</w:t>
      </w:r>
      <w:r w:rsidRPr="00295E93">
        <w:rPr>
          <w:rFonts w:ascii="Times" w:hAnsi="Times"/>
          <w:sz w:val="24"/>
          <w:vertAlign w:val="subscript"/>
        </w:rPr>
        <w:t>c</w:t>
      </w:r>
      <w:r w:rsidRPr="00295E93">
        <w:rPr>
          <w:rFonts w:ascii="Times" w:hAnsi="Times"/>
          <w:sz w:val="24"/>
        </w:rPr>
        <w:t>) = 0.5 (2800 µatm) and at Ω</w:t>
      </w:r>
      <w:r w:rsidRPr="00295E93">
        <w:rPr>
          <w:rFonts w:ascii="Times" w:hAnsi="Times"/>
          <w:sz w:val="24"/>
          <w:vertAlign w:val="subscript"/>
        </w:rPr>
        <w:t>c</w:t>
      </w:r>
      <w:r w:rsidRPr="00295E93">
        <w:rPr>
          <w:rFonts w:ascii="Times" w:hAnsi="Times"/>
          <w:sz w:val="24"/>
        </w:rPr>
        <w:t xml:space="preserve"> = 1.3 (1000 µatm).  Alterations in shell growth and structure would be expected at Ω</w:t>
      </w:r>
      <w:r w:rsidRPr="00295E93">
        <w:rPr>
          <w:rFonts w:ascii="Times" w:hAnsi="Times"/>
          <w:sz w:val="24"/>
          <w:vertAlign w:val="subscript"/>
        </w:rPr>
        <w:t>c</w:t>
      </w:r>
      <w:r w:rsidRPr="00295E93">
        <w:rPr>
          <w:rFonts w:ascii="Times" w:hAnsi="Times"/>
          <w:sz w:val="24"/>
        </w:rPr>
        <w:t xml:space="preserve"> &lt; 1, however there is increasing evidence that shell modifications occur even at Ω</w:t>
      </w:r>
      <w:r w:rsidRPr="00295E93">
        <w:rPr>
          <w:rFonts w:ascii="Times" w:hAnsi="Times"/>
          <w:sz w:val="24"/>
          <w:vertAlign w:val="subscript"/>
        </w:rPr>
        <w:t>c</w:t>
      </w:r>
      <w:r w:rsidRPr="00295E93">
        <w:rPr>
          <w:rFonts w:ascii="Times" w:hAnsi="Times"/>
          <w:sz w:val="24"/>
        </w:rPr>
        <w:t xml:space="preserve"> &gt; 1.  Even when seawater is saturated with respect to calcite, bivalves experience both shell dissolution </w:t>
      </w:r>
      <w:r w:rsidRPr="00295E93">
        <w:rPr>
          <w:rFonts w:ascii="Times" w:hAnsi="Times"/>
          <w:sz w:val="24"/>
        </w:rPr>
        <w:fldChar w:fldCharType="begin" w:fldLock="1"/>
      </w:r>
      <w:r w:rsidRPr="00295E93">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 Lannig et al., 2010)</w:t>
      </w:r>
      <w:r w:rsidRPr="00295E93">
        <w:rPr>
          <w:rFonts w:ascii="Times" w:hAnsi="Times"/>
          <w:sz w:val="24"/>
        </w:rPr>
        <w:fldChar w:fldCharType="end"/>
      </w:r>
      <w:r w:rsidRPr="00295E93">
        <w:rPr>
          <w:rFonts w:ascii="Times" w:hAnsi="Times"/>
          <w:sz w:val="24"/>
        </w:rPr>
        <w:t xml:space="preserve"> and changes to shell microstructure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"dropping-particle" : "", "family" : "Jcu", "given" : "Aims", "non-dropping-particle" : "", "parse-names" : false, "suffix" : "" }, { "dropping-particle" : "", "family" : "Biology", "given" : "Tropical",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Heimann, Jcu, &amp; Biology,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 Dickinson et al., 2013; Welladsen et al., 2010)</w:t>
      </w:r>
      <w:r w:rsidRPr="00295E93">
        <w:rPr>
          <w:rFonts w:ascii="Times" w:hAnsi="Times"/>
          <w:sz w:val="24"/>
        </w:rPr>
        <w:fldChar w:fldCharType="end"/>
      </w:r>
      <w:r w:rsidRPr="00295E93">
        <w:rPr>
          <w:rFonts w:ascii="Times" w:hAnsi="Times"/>
          <w:sz w:val="24"/>
        </w:rPr>
        <w:t>.  These results indicate that as Ω</w:t>
      </w:r>
      <w:r w:rsidRPr="00295E93">
        <w:rPr>
          <w:rFonts w:ascii="Times" w:hAnsi="Times"/>
          <w:sz w:val="24"/>
          <w:vertAlign w:val="subscript"/>
        </w:rPr>
        <w:t xml:space="preserve"> </w:t>
      </w:r>
      <w:r w:rsidRPr="00295E93">
        <w:rPr>
          <w:rFonts w:ascii="Times" w:hAnsi="Times"/>
          <w:sz w:val="24"/>
        </w:rPr>
        <w:t xml:space="preserve">decreases the driving force towards biomineralization is reduced. Since calcification is an energetically intensive process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(Paine, 1971; Palmer, 1992; Rosenberg &amp; Hughes, 1991)</w:t>
      </w:r>
      <w:r w:rsidRPr="00295E93">
        <w:rPr>
          <w:rFonts w:ascii="Times" w:hAnsi="Times"/>
          <w:sz w:val="24"/>
        </w:rPr>
        <w:fldChar w:fldCharType="end"/>
      </w:r>
      <w:r w:rsidRPr="00295E93">
        <w:rPr>
          <w:rFonts w:ascii="Times" w:hAnsi="Times"/>
          <w:sz w:val="24"/>
        </w:rPr>
        <w:t>, one explanation for significant effects on CaCO</w:t>
      </w:r>
      <w:r w:rsidRPr="00295E93">
        <w:rPr>
          <w:rFonts w:ascii="Times" w:hAnsi="Times"/>
          <w:sz w:val="24"/>
          <w:vertAlign w:val="subscript"/>
        </w:rPr>
        <w:t>3</w:t>
      </w:r>
      <w:r w:rsidRPr="00295E93">
        <w:rPr>
          <w:rFonts w:ascii="Times" w:hAnsi="Times"/>
          <w:sz w:val="24"/>
        </w:rPr>
        <w:t xml:space="preserve"> structures at Ω</w:t>
      </w:r>
      <w:r w:rsidRPr="00295E93">
        <w:rPr>
          <w:rFonts w:ascii="Times" w:hAnsi="Times"/>
          <w:sz w:val="24"/>
          <w:vertAlign w:val="subscript"/>
        </w:rPr>
        <w:t xml:space="preserve">  </w:t>
      </w:r>
      <w:r w:rsidRPr="00295E93">
        <w:rPr>
          <w:rFonts w:ascii="Times" w:hAnsi="Times"/>
          <w:sz w:val="24"/>
        </w:rPr>
        <w:t>&gt; 1 is that resources for energy metabolism are being reallocated to other, non-calcification physiological processes in order to maintain homeostasis.</w:t>
      </w:r>
    </w:p>
    <w:p w14:paraId="0F7EF60F" w14:textId="77777777" w:rsidR="00295E93" w:rsidRPr="00295E93" w:rsidRDefault="00295E93" w:rsidP="00295E93">
      <w:pPr>
        <w:pStyle w:val="normal0"/>
        <w:spacing w:line="360" w:lineRule="auto"/>
        <w:rPr>
          <w:rFonts w:ascii="Times" w:hAnsi="Times"/>
          <w:sz w:val="24"/>
        </w:rPr>
      </w:pPr>
    </w:p>
    <w:p w14:paraId="14B2592C"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In order to gain insight into changes in energy metabolism that could be a result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 also examined fatty acid profiles.  There was no difference in relative proportions of fatty acids in whole body tissue after one month of exposure to 800 µatm or 2800 µatm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This was contrary to our hypothesis that the extended stress of ocean acidification would alter fundamental metabolites.  Oysters and other bivalves are highly dependent on fatty acids as a main energy source, especially poly-unsaturated fatty acids </w:t>
      </w:r>
      <w:r w:rsidRPr="00295E93">
        <w:rPr>
          <w:rFonts w:ascii="Times" w:hAnsi="Times"/>
          <w:sz w:val="24"/>
        </w:rPr>
        <w:fldChar w:fldCharType="begin" w:fldLock="1"/>
      </w:r>
      <w:r w:rsidRPr="00295E93">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(Milke et al., 2004; Pettersen et al., 2010; Soudant et al., 1999; Trider and Castell, 1980)</w:t>
      </w:r>
      <w:r w:rsidRPr="00295E93">
        <w:rPr>
          <w:rFonts w:ascii="Times" w:hAnsi="Times"/>
          <w:sz w:val="24"/>
        </w:rPr>
        <w:fldChar w:fldCharType="end"/>
      </w:r>
      <w:r w:rsidRPr="00295E93">
        <w:rPr>
          <w:rFonts w:ascii="Times" w:hAnsi="Times"/>
          <w:sz w:val="24"/>
        </w:rPr>
        <w:t xml:space="preserve">.  Changes in physiological state, such as those induced by reproduction or poor nutrient supply, can alter the relative proportions of fatty acids in oyster tissue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(Both et al., 2011; Soudant et al., 1999)</w:t>
      </w:r>
      <w:r w:rsidRPr="00295E93">
        <w:rPr>
          <w:rFonts w:ascii="Times" w:hAnsi="Times"/>
          <w:sz w:val="24"/>
        </w:rPr>
        <w:fldChar w:fldCharType="end"/>
      </w:r>
      <w:r w:rsidRPr="00295E93">
        <w:rPr>
          <w:rFonts w:ascii="Times" w:hAnsi="Times"/>
          <w:sz w:val="24"/>
        </w:rPr>
        <w:t xml:space="preserve">.  It is possible that an environmental stress can trigger a change in bivalve physiology and result in changes in fatty acid metabolism and/or storage, however, exposure time and life stage may also play important roles.  In the case of ocean acidification, </w:t>
      </w:r>
      <w:r w:rsidRPr="00295E93">
        <w:rPr>
          <w:rFonts w:ascii="Times" w:hAnsi="Times"/>
          <w:i/>
          <w:sz w:val="24"/>
        </w:rPr>
        <w:t>C. gigas</w:t>
      </w:r>
      <w:r w:rsidRPr="00295E93">
        <w:rPr>
          <w:rFonts w:ascii="Times" w:hAnsi="Times"/>
          <w:sz w:val="24"/>
        </w:rPr>
        <w:t xml:space="preserve"> is able to maintain homeostasis of both total and relative amounts of important fatty acids.  After 11 weeks of exposure to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800 µatm, juvenile </w:t>
      </w:r>
      <w:r w:rsidRPr="00295E93">
        <w:rPr>
          <w:rFonts w:ascii="Times" w:hAnsi="Times"/>
          <w:i/>
          <w:sz w:val="24"/>
        </w:rPr>
        <w:t>C. virginica</w:t>
      </w:r>
      <w:r w:rsidRPr="00295E93">
        <w:rPr>
          <w:rFonts w:ascii="Times" w:hAnsi="Times"/>
          <w:sz w:val="24"/>
        </w:rPr>
        <w:t xml:space="preserve"> had significantly less lipid per gram body weight than control oysters </w:t>
      </w:r>
      <w:r w:rsidRPr="00295E93">
        <w:rPr>
          <w:rFonts w:ascii="Times" w:hAnsi="Times"/>
          <w:sz w:val="24"/>
        </w:rPr>
        <w:fldChar w:fldCharType="begin" w:fldLock="1"/>
      </w:r>
      <w:r w:rsidRPr="00295E93">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2012)</w:t>
      </w:r>
      <w:r w:rsidRPr="00295E93">
        <w:rPr>
          <w:rFonts w:ascii="Times" w:hAnsi="Times"/>
          <w:sz w:val="24"/>
        </w:rPr>
        <w:fldChar w:fldCharType="end"/>
      </w:r>
      <w:r w:rsidRPr="00295E93">
        <w:rPr>
          <w:rFonts w:ascii="Times" w:hAnsi="Times"/>
          <w:sz w:val="24"/>
        </w:rPr>
        <w:t xml:space="preserve">.   The extended stress of the 11 week exposure in Dickinson et al. (2012) may have overwhelmed </w:t>
      </w:r>
      <w:r w:rsidRPr="00295E93">
        <w:rPr>
          <w:rFonts w:ascii="Times" w:hAnsi="Times"/>
          <w:i/>
          <w:sz w:val="24"/>
        </w:rPr>
        <w:t>C. virginica</w:t>
      </w:r>
      <w:r w:rsidRPr="00295E93">
        <w:rPr>
          <w:rFonts w:ascii="Times" w:hAnsi="Times"/>
          <w:sz w:val="24"/>
        </w:rPr>
        <w:t xml:space="preserve">’s ability to maintain lipid homeostasis, suggesting that oyster energy metabolism may fail under consistent ocean acidification stress.  However, there are some instances where ocean acidification did not influence lipid levels in invertebrates.  For example, in larval sea urchins, despite the fact that individuals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were smaller than control larvae,</w:t>
      </w:r>
      <w:r w:rsidRPr="00295E93">
        <w:rPr>
          <w:rFonts w:ascii="Times" w:hAnsi="Times"/>
          <w:sz w:val="24"/>
          <w:vertAlign w:val="subscript"/>
        </w:rPr>
        <w:t xml:space="preserve"> </w:t>
      </w:r>
      <w:r w:rsidRPr="00295E93">
        <w:rPr>
          <w:rFonts w:ascii="Times" w:hAnsi="Times"/>
          <w:sz w:val="24"/>
        </w:rPr>
        <w:t xml:space="preserve">they maintained the same lipid and protein levels </w:t>
      </w:r>
      <w:r w:rsidRPr="00295E93">
        <w:rPr>
          <w:rFonts w:ascii="Times" w:hAnsi="Times"/>
          <w:sz w:val="24"/>
        </w:rPr>
        <w:fldChar w:fldCharType="begin" w:fldLock="1"/>
      </w:r>
      <w:r w:rsidRPr="00295E93">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(Matson et al., 2012)</w:t>
      </w:r>
      <w:r w:rsidRPr="00295E93">
        <w:rPr>
          <w:rFonts w:ascii="Times" w:hAnsi="Times"/>
          <w:sz w:val="24"/>
        </w:rPr>
        <w:fldChar w:fldCharType="end"/>
      </w:r>
      <w:r w:rsidRPr="00295E93">
        <w:rPr>
          <w:rFonts w:ascii="Times" w:hAnsi="Times"/>
          <w:sz w:val="24"/>
        </w:rPr>
        <w:t>.</w:t>
      </w:r>
    </w:p>
    <w:p w14:paraId="1913978C" w14:textId="77777777" w:rsidR="00295E93" w:rsidRPr="00295E93" w:rsidRDefault="00295E93" w:rsidP="00295E93">
      <w:pPr>
        <w:pStyle w:val="normal0"/>
        <w:spacing w:line="360" w:lineRule="auto"/>
        <w:rPr>
          <w:rFonts w:ascii="Times" w:hAnsi="Times"/>
          <w:sz w:val="24"/>
        </w:rPr>
      </w:pPr>
    </w:p>
    <w:p w14:paraId="1FA98FEE" w14:textId="77777777" w:rsidR="00295E93" w:rsidRPr="00295E93" w:rsidRDefault="00295E93" w:rsidP="00295E93">
      <w:pPr>
        <w:pStyle w:val="normal0"/>
        <w:spacing w:line="360" w:lineRule="auto"/>
        <w:rPr>
          <w:rFonts w:ascii="Times" w:hAnsi="Times"/>
          <w:sz w:val="24"/>
        </w:rPr>
      </w:pPr>
      <w:r w:rsidRPr="00295E93">
        <w:rPr>
          <w:rFonts w:ascii="Times" w:hAnsi="Times"/>
          <w:i/>
          <w:sz w:val="24"/>
        </w:rPr>
        <w:tab/>
      </w:r>
      <w:r w:rsidRPr="00295E93">
        <w:rPr>
          <w:rFonts w:ascii="Times" w:hAnsi="Times"/>
          <w:sz w:val="24"/>
        </w:rPr>
        <w:t xml:space="preserve">Consistent with the hypothesis that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could be evidence that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95E93">
        <w:rPr>
          <w:rFonts w:ascii="Times" w:hAnsi="Times"/>
          <w:i/>
          <w:sz w:val="24"/>
        </w:rPr>
        <w:t>C. virginica</w:t>
      </w:r>
      <w:r w:rsidRPr="00295E93">
        <w:rPr>
          <w:rFonts w:ascii="Times" w:hAnsi="Times"/>
          <w:sz w:val="24"/>
        </w:rPr>
        <w:t xml:space="preserve">,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not impact the oyster’s response to elevated temperature </w:t>
      </w:r>
      <w:r w:rsidRPr="00295E93">
        <w:rPr>
          <w:rFonts w:ascii="Times" w:hAnsi="Times"/>
          <w:sz w:val="24"/>
        </w:rPr>
        <w:fldChar w:fldCharType="begin" w:fldLock="1"/>
      </w:r>
      <w:r w:rsidRPr="00295E93">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(Ivanina et al., 2013)</w:t>
      </w:r>
      <w:r w:rsidRPr="00295E93">
        <w:rPr>
          <w:rFonts w:ascii="Times" w:hAnsi="Times"/>
          <w:sz w:val="24"/>
        </w:rPr>
        <w:fldChar w:fldCharType="end"/>
      </w:r>
      <w:r w:rsidRPr="00295E93">
        <w:rPr>
          <w:rFonts w:ascii="Times" w:hAnsi="Times"/>
          <w:sz w:val="24"/>
        </w:rPr>
        <w:t xml:space="preserve">.  In fact, Ivanina et al. (2013) demonstrated that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limited high temperature-associated mortality in </w:t>
      </w:r>
      <w:r w:rsidRPr="00295E93">
        <w:rPr>
          <w:rFonts w:ascii="Times" w:hAnsi="Times"/>
          <w:i/>
          <w:sz w:val="24"/>
        </w:rPr>
        <w:t>C. virginica</w:t>
      </w:r>
      <w:r w:rsidRPr="00295E93">
        <w:rPr>
          <w:rFonts w:ascii="Times" w:hAnsi="Times"/>
          <w:sz w:val="24"/>
        </w:rPr>
        <w:t xml:space="preserve">.  The modulating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temperature-associated mortality, as well as the lack of negative impacts of acute temperature evidenced herein, suggest that the physiological response stimulated by one stress offers tolerance to negative effects of a second stress.  </w:t>
      </w:r>
    </w:p>
    <w:p w14:paraId="47036E89" w14:textId="77777777" w:rsidR="00295E93" w:rsidRPr="00295E93" w:rsidRDefault="00295E93" w:rsidP="00295E93">
      <w:pPr>
        <w:pStyle w:val="normal0"/>
        <w:spacing w:line="360" w:lineRule="auto"/>
        <w:rPr>
          <w:rFonts w:ascii="Times" w:hAnsi="Times"/>
          <w:sz w:val="24"/>
        </w:rPr>
      </w:pPr>
      <w:r w:rsidRPr="00295E93">
        <w:rPr>
          <w:rFonts w:ascii="Times" w:hAnsi="Times"/>
          <w:i/>
          <w:sz w:val="24"/>
        </w:rPr>
        <w:tab/>
      </w:r>
    </w:p>
    <w:p w14:paraId="69B445C6"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95E93">
        <w:rPr>
          <w:rFonts w:ascii="Times" w:hAnsi="Times"/>
          <w:i/>
          <w:sz w:val="24"/>
        </w:rPr>
        <w:t>C. gigas</w:t>
      </w:r>
      <w:r w:rsidRPr="00295E93">
        <w:rPr>
          <w:rFonts w:ascii="Times" w:hAnsi="Times"/>
          <w:sz w:val="24"/>
        </w:rPr>
        <w:t xml:space="preserve"> after one month of exposure.  One clear trend identified in gill protein expression patterns in oysters exposed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was that proteins associated with carbohydrate metabolism were differentially expressed.  This included proteins involved in gluconeogenesis (</w:t>
      </w:r>
      <w:bookmarkStart w:id="65" w:name="OLE_LINK9"/>
      <w:bookmarkStart w:id="66" w:name="OLE_LINK10"/>
      <w:bookmarkStart w:id="67" w:name="OLE_LINK11"/>
      <w:r w:rsidRPr="00295E93">
        <w:rPr>
          <w:rFonts w:ascii="Times" w:hAnsi="Times"/>
          <w:sz w:val="24"/>
        </w:rPr>
        <w:t>serine-pyruvate aminotransferase</w:t>
      </w:r>
      <w:bookmarkEnd w:id="65"/>
      <w:bookmarkEnd w:id="66"/>
      <w:bookmarkEnd w:id="67"/>
      <w:r w:rsidRPr="00295E93">
        <w:rPr>
          <w:rFonts w:ascii="Times" w:hAnsi="Times"/>
          <w:sz w:val="24"/>
        </w:rPr>
        <w:t xml:space="preserve">) as well as </w:t>
      </w:r>
      <w:bookmarkStart w:id="68" w:name="OLE_LINK12"/>
      <w:bookmarkStart w:id="69" w:name="OLE_LINK13"/>
      <w:r w:rsidRPr="00295E93">
        <w:rPr>
          <w:rFonts w:ascii="Times" w:hAnsi="Times"/>
          <w:sz w:val="24"/>
        </w:rPr>
        <w:t xml:space="preserve">galactose metabolism </w:t>
      </w:r>
      <w:bookmarkEnd w:id="68"/>
      <w:bookmarkEnd w:id="69"/>
      <w:r w:rsidRPr="00295E93">
        <w:rPr>
          <w:rFonts w:ascii="Times" w:hAnsi="Times"/>
          <w:b/>
          <w:sz w:val="24"/>
        </w:rPr>
        <w:t>(</w:t>
      </w:r>
      <w:r w:rsidRPr="00295E93">
        <w:rPr>
          <w:rFonts w:ascii="Times" w:hAnsi="Times"/>
          <w:sz w:val="24"/>
        </w:rPr>
        <w:t>UDP-N-acetylhexosamine pyrophosphorylase and N-acetylgalactosamine kinase). Both of these pathways can lead to production of glucose.  One explanation for these changes is that during ocean acidification there is a need for increased glucose production in order to provide energy resources necessary to maintain homeostasis. Further, the fact that</w:t>
      </w:r>
      <w:r w:rsidRPr="00295E93">
        <w:rPr>
          <w:rFonts w:ascii="Times" w:hAnsi="Times"/>
          <w:b/>
          <w:sz w:val="24"/>
        </w:rPr>
        <w:t xml:space="preserve"> </w:t>
      </w:r>
      <w:r w:rsidRPr="00295E93">
        <w:rPr>
          <w:rFonts w:ascii="Times" w:hAnsi="Times"/>
          <w:sz w:val="24"/>
        </w:rPr>
        <w:t>serine-pyruvate aminotransferase</w:t>
      </w:r>
      <w:r w:rsidRPr="00295E93">
        <w:rPr>
          <w:rFonts w:ascii="Times" w:hAnsi="Times"/>
          <w:b/>
          <w:sz w:val="24"/>
        </w:rPr>
        <w:t xml:space="preserve"> </w:t>
      </w:r>
      <w:r w:rsidRPr="00295E93">
        <w:rPr>
          <w:rFonts w:ascii="Times" w:hAnsi="Times"/>
          <w:sz w:val="24"/>
        </w:rPr>
        <w:t xml:space="preserve">expression was decreased and proteins associated with galactose metabolism increased in expression could indicate a shift in glucose production pathways (Figure 6A).  In other taxa, the general stress response usually leads to increased carbohydrate metabolism and decreased carbohydrate storage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(Mizock, 1995; Parrou et al., 1997)</w:t>
      </w:r>
      <w:r w:rsidRPr="00295E93">
        <w:rPr>
          <w:rFonts w:ascii="Times" w:hAnsi="Times"/>
          <w:sz w:val="24"/>
        </w:rPr>
        <w:fldChar w:fldCharType="end"/>
      </w:r>
      <w:r w:rsidRPr="00295E93">
        <w:rPr>
          <w:rFonts w:ascii="Times" w:hAnsi="Times"/>
          <w:sz w:val="24"/>
        </w:rPr>
        <w:t xml:space="preserve">.  Similarly, larval urchins had decreased expression of carbohydrate, lipid, and protein metabolism-related genes after ocean acidification exposure </w:t>
      </w:r>
      <w:r w:rsidRPr="00295E93">
        <w:rPr>
          <w:rFonts w:ascii="Times" w:hAnsi="Times"/>
          <w:sz w:val="24"/>
        </w:rPr>
        <w:fldChar w:fldCharType="begin" w:fldLock="1"/>
      </w:r>
      <w:r w:rsidRPr="00295E93">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(Todgham and Hofmann, 2009)</w:t>
      </w:r>
      <w:r w:rsidRPr="00295E93">
        <w:rPr>
          <w:rFonts w:ascii="Times" w:hAnsi="Times"/>
          <w:sz w:val="24"/>
        </w:rPr>
        <w:fldChar w:fldCharType="end"/>
      </w:r>
      <w:r w:rsidRPr="00295E93">
        <w:rPr>
          <w:rFonts w:ascii="Times" w:hAnsi="Times"/>
          <w:sz w:val="24"/>
        </w:rPr>
        <w:t>.</w:t>
      </w:r>
    </w:p>
    <w:p w14:paraId="43E5AC20"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Cellular respiration and the electron transport chain proteins were also affected by exposure to ocean acidification conditions</w:t>
      </w:r>
      <w:r w:rsidRPr="00295E93">
        <w:rPr>
          <w:rFonts w:ascii="Times" w:hAnsi="Times"/>
          <w:b/>
          <w:sz w:val="24"/>
        </w:rPr>
        <w:t xml:space="preserve">. </w:t>
      </w:r>
      <w:r w:rsidRPr="00295E93">
        <w:rPr>
          <w:rFonts w:ascii="Times" w:hAnsi="Times"/>
          <w:sz w:val="24"/>
        </w:rPr>
        <w:t xml:space="preserve"> Increased expression of proteins associated with both of these processes</w:t>
      </w:r>
      <w:r w:rsidRPr="00295E93">
        <w:rPr>
          <w:rFonts w:ascii="Times" w:hAnsi="Times"/>
          <w:b/>
          <w:sz w:val="24"/>
        </w:rPr>
        <w:t xml:space="preserve"> </w:t>
      </w:r>
      <w:r w:rsidRPr="00295E93">
        <w:rPr>
          <w:rFonts w:ascii="Times" w:hAnsi="Times"/>
          <w:sz w:val="24"/>
        </w:rPr>
        <w:t xml:space="preserve">(cysteine-tRNA ligase, cytochrome c oxidase, and NADH dehydrogenase) implies oysters exposed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experienced a heightened demand for energy (i.e. increased ATP production in mitochondria).  Metabolic rate can also be affected by the combination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and temperature, but in a species-specific manner: </w:t>
      </w:r>
      <w:r w:rsidRPr="00295E93">
        <w:rPr>
          <w:rFonts w:ascii="Times" w:hAnsi="Times"/>
          <w:i/>
          <w:sz w:val="24"/>
        </w:rPr>
        <w:t>C. gigas</w:t>
      </w:r>
      <w:r w:rsidRPr="00295E93">
        <w:rPr>
          <w:rFonts w:ascii="Times" w:hAnsi="Times"/>
          <w:sz w:val="24"/>
        </w:rPr>
        <w:t xml:space="preserve">’s metabolic rate was suppressed (Lannig et al. 2010) while </w:t>
      </w:r>
      <w:r w:rsidRPr="00295E93">
        <w:rPr>
          <w:rFonts w:ascii="Times" w:hAnsi="Times"/>
          <w:i/>
          <w:sz w:val="24"/>
        </w:rPr>
        <w:t>M. mercenaria</w:t>
      </w:r>
      <w:r w:rsidRPr="00295E93">
        <w:rPr>
          <w:rFonts w:ascii="Times" w:hAnsi="Times"/>
          <w:sz w:val="24"/>
        </w:rPr>
        <w:t xml:space="preserve">’s was elevated </w:t>
      </w:r>
      <w:r w:rsidRPr="00295E93">
        <w:rPr>
          <w:rFonts w:ascii="Times" w:hAnsi="Times"/>
          <w:sz w:val="24"/>
        </w:rPr>
        <w:fldChar w:fldCharType="begin" w:fldLock="1"/>
      </w:r>
      <w:r w:rsidRPr="00295E93">
        <w:rPr>
          <w:rFonts w:ascii="Times" w:hAnsi="Times"/>
          <w:sz w:val="24"/>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(Matoo et al., 2013)</w:t>
      </w:r>
      <w:r w:rsidRPr="00295E93">
        <w:rPr>
          <w:rFonts w:ascii="Times" w:hAnsi="Times"/>
          <w:sz w:val="24"/>
        </w:rPr>
        <w:fldChar w:fldCharType="end"/>
      </w:r>
      <w:r w:rsidRPr="00295E93">
        <w:rPr>
          <w:rFonts w:ascii="Times" w:hAnsi="Times"/>
          <w:sz w:val="24"/>
        </w:rPr>
        <w:t xml:space="preserve">.  Heightened metabolism can occur in response to an ongoing stress (Mizock 1995) and may be an important adaptive strategy to counteract the physiological effects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fldChar w:fldCharType="begin" w:fldLock="1"/>
      </w:r>
      <w:r w:rsidRPr="00295E93">
        <w:rPr>
          <w:rFonts w:ascii="Times" w:hAnsi="Times"/>
          <w:sz w:val="24"/>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(Melzner et al., 2009)</w:t>
      </w:r>
      <w:r w:rsidRPr="00295E93">
        <w:rPr>
          <w:rFonts w:ascii="Times" w:hAnsi="Times"/>
          <w:sz w:val="24"/>
        </w:rPr>
        <w:fldChar w:fldCharType="end"/>
      </w:r>
      <w:r w:rsidRPr="00295E93">
        <w:rPr>
          <w:rFonts w:ascii="Times" w:hAnsi="Times"/>
          <w:sz w:val="24"/>
        </w:rPr>
        <w:t xml:space="preserve">.  Further evidence of increased mitochonodrial metabolism is the elevated expression of an antioxidant response protein (glutathione S-transferase omega-1).  The cellular need for an antioxidant response could arise from greater reactive oxygen species generation due to increased metabolism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(Mohanty et al., 2000)</w:t>
      </w:r>
      <w:r w:rsidRPr="00295E93">
        <w:rPr>
          <w:rFonts w:ascii="Times" w:hAnsi="Times"/>
          <w:sz w:val="24"/>
        </w:rPr>
        <w:fldChar w:fldCharType="end"/>
      </w:r>
      <w:r w:rsidRPr="00295E93">
        <w:rPr>
          <w:rFonts w:ascii="Times" w:hAnsi="Times"/>
          <w:sz w:val="24"/>
        </w:rPr>
        <w:t>.  Additionally, the cellular environment resulting from ocean acidification may directly lead to oxidative stress due to elevated cellular CO</w:t>
      </w:r>
      <w:r w:rsidRPr="00295E93">
        <w:rPr>
          <w:rFonts w:ascii="Times" w:hAnsi="Times"/>
          <w:sz w:val="24"/>
          <w:vertAlign w:val="subscript"/>
        </w:rPr>
        <w:t>2</w:t>
      </w:r>
      <w:r w:rsidRPr="00295E93">
        <w:rPr>
          <w:rFonts w:ascii="Times" w:hAnsi="Times"/>
          <w:sz w:val="24"/>
        </w:rPr>
        <w:t xml:space="preserve"> and H</w:t>
      </w:r>
      <w:r w:rsidRPr="00295E93">
        <w:rPr>
          <w:rFonts w:ascii="Times" w:hAnsi="Times"/>
          <w:sz w:val="24"/>
          <w:vertAlign w:val="superscript"/>
        </w:rPr>
        <w:t>+</w:t>
      </w:r>
      <w:r w:rsidRPr="00295E93">
        <w:rPr>
          <w:rFonts w:ascii="Times" w:hAnsi="Times"/>
          <w:sz w:val="24"/>
        </w:rPr>
        <w:t xml:space="preserve"> </w:t>
      </w:r>
      <w:r w:rsidRPr="00295E93">
        <w:rPr>
          <w:rFonts w:ascii="Times" w:hAnsi="Times"/>
          <w:sz w:val="24"/>
        </w:rPr>
        <w:fldChar w:fldCharType="begin" w:fldLock="1"/>
      </w:r>
      <w:r w:rsidRPr="00295E93">
        <w:rPr>
          <w:rFonts w:ascii="Times" w:hAnsi="Times"/>
          <w:sz w:val="24"/>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Zuzow, Ivanina, Beniash, &amp; Sokolova,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(Dean, 2010; Tomanek et al., 2011)</w:t>
      </w:r>
      <w:r w:rsidRPr="00295E93">
        <w:rPr>
          <w:rFonts w:ascii="Times" w:hAnsi="Times"/>
          <w:sz w:val="24"/>
        </w:rPr>
        <w:fldChar w:fldCharType="end"/>
      </w:r>
      <w:r w:rsidRPr="00295E93">
        <w:rPr>
          <w:rFonts w:ascii="Times" w:hAnsi="Times"/>
          <w:sz w:val="24"/>
        </w:rPr>
        <w:t xml:space="preserve">.  Resulting from either direct or indirect (increased metabolism)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invertebrates frequently experience oxidative stress during ocean acidification exposure as evidenced at the molecular level (Todgham and Hofmann, 2009; Tomanek et al., 2011).  All of these changes to molecular processes in the mitochondria are evidence of an increase in energy production, and perhaps energy requirements, in oysters exposed to ocean acidification.</w:t>
      </w:r>
    </w:p>
    <w:p w14:paraId="5D091061"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The proteomic response to a secondary stress in conjunction with ocean acidification goes beyond the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alone to investigate how certain responses are altered by this environmental change.  The ultimate goal of investigating a second stress was to attempt to assess whether the “normal” physiological response to a stress event (i.e. mechanical stimulation) would be significantly impacted under ocean acidification conditions.  Qualitative differences between the proteomic responses to mechanical stimulation at 400 and 2800 µatm are reflected in the enrichment analysis, which identifies differences between treatment groups at the process level.  No biological processes were enriched during the “normal” (400 µatm) response to mechanical stimulation.  Numerous processes including neuromuscular processes, cell junction assembly, tissue morphogenesis, and carbohydrate metabolism were significantly impacted by at 2800 µatm upon mechanical stress, clearly demonstrating how ocean acidification impacts the normal physiological response to an exongenous stress.</w:t>
      </w:r>
    </w:p>
    <w:p w14:paraId="3FC64164" w14:textId="534EA544"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Ocean acidification appears to significantly impact apoptotic responses of oysters exposed to mechanical stress (Figure </w:t>
      </w:r>
      <w:r w:rsidR="00F451C2">
        <w:rPr>
          <w:rFonts w:ascii="Times" w:hAnsi="Times"/>
          <w:sz w:val="24"/>
        </w:rPr>
        <w:t>III.</w:t>
      </w:r>
      <w:r w:rsidRPr="00295E93">
        <w:rPr>
          <w:rFonts w:ascii="Times" w:hAnsi="Times"/>
          <w:sz w:val="24"/>
        </w:rPr>
        <w:t>6B).</w:t>
      </w:r>
      <w:r w:rsidRPr="00295E93">
        <w:rPr>
          <w:rFonts w:ascii="Times" w:hAnsi="Times"/>
          <w:b/>
          <w:sz w:val="24"/>
        </w:rPr>
        <w:t xml:space="preserve"> </w:t>
      </w:r>
      <w:r w:rsidRPr="00295E93">
        <w:rPr>
          <w:rFonts w:ascii="Times" w:hAnsi="Times"/>
          <w:sz w:val="24"/>
        </w:rPr>
        <w:t xml:space="preserve">  Changes to cell growth and morphogenesis are reflected in the enrichment of these processes in oysters exposed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with and without mechanical stimulation.  Cell growth pathway proteins (</w:t>
      </w:r>
      <w:bookmarkStart w:id="70" w:name="OLE_LINK54"/>
      <w:bookmarkStart w:id="71" w:name="OLE_LINK55"/>
      <w:r w:rsidRPr="00295E93">
        <w:rPr>
          <w:rFonts w:ascii="Times" w:hAnsi="Times"/>
          <w:sz w:val="24"/>
        </w:rPr>
        <w:t>receptor-type tyrosine-protein phosphatase β</w:t>
      </w:r>
      <w:bookmarkEnd w:id="70"/>
      <w:bookmarkEnd w:id="71"/>
      <w:r w:rsidRPr="00295E93">
        <w:rPr>
          <w:rFonts w:ascii="Times" w:hAnsi="Times"/>
          <w:sz w:val="24"/>
        </w:rPr>
        <w:t xml:space="preserve">, thymidine phosphorylase, and tyrosine protein kinase Yes) were expressed at lower levels after mechanical stimulation at both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Proteins associated with apoptosis increased expression with mechanical stimulation at </w:t>
      </w:r>
      <w:bookmarkStart w:id="72" w:name="OLE_LINK56"/>
      <w:bookmarkStart w:id="73" w:name="OLE_LINK57"/>
      <w:r w:rsidRPr="00295E93">
        <w:rPr>
          <w:rFonts w:ascii="Times" w:hAnsi="Times"/>
          <w:sz w:val="24"/>
        </w:rPr>
        <w:t xml:space="preserve">400 µatm </w:t>
      </w:r>
      <w:bookmarkEnd w:id="72"/>
      <w:bookmarkEnd w:id="73"/>
      <w:r w:rsidRPr="00295E93">
        <w:rPr>
          <w:rFonts w:ascii="Times" w:hAnsi="Times"/>
          <w:sz w:val="24"/>
        </w:rPr>
        <w:t xml:space="preserve">(programmed cell death protein 5 and CDGSH iron-sulfur domain-containing protein 2) and decreased at </w:t>
      </w:r>
      <w:bookmarkStart w:id="74" w:name="OLE_LINK64"/>
      <w:bookmarkStart w:id="75" w:name="OLE_LINK65"/>
      <w:bookmarkStart w:id="76" w:name="OLE_LINK16"/>
      <w:r w:rsidRPr="00295E93">
        <w:rPr>
          <w:rFonts w:ascii="Times" w:hAnsi="Times"/>
          <w:sz w:val="24"/>
        </w:rPr>
        <w:t xml:space="preserve">2800 µatm </w:t>
      </w:r>
      <w:bookmarkEnd w:id="74"/>
      <w:bookmarkEnd w:id="75"/>
      <w:bookmarkEnd w:id="76"/>
      <w:r w:rsidRPr="00295E93">
        <w:rPr>
          <w:rFonts w:ascii="Times" w:hAnsi="Times"/>
          <w:sz w:val="24"/>
        </w:rPr>
        <w:t>(</w:t>
      </w:r>
      <w:bookmarkStart w:id="77" w:name="OLE_LINK58"/>
      <w:bookmarkStart w:id="78" w:name="OLE_LINK59"/>
      <w:r w:rsidRPr="00295E93">
        <w:rPr>
          <w:rFonts w:ascii="Times" w:hAnsi="Times"/>
          <w:sz w:val="24"/>
        </w:rPr>
        <w:t>caspase-7</w:t>
      </w:r>
      <w:bookmarkEnd w:id="77"/>
      <w:bookmarkEnd w:id="78"/>
      <w:r w:rsidRPr="00295E93">
        <w:rPr>
          <w:rFonts w:ascii="Times" w:hAnsi="Times"/>
          <w:sz w:val="24"/>
        </w:rPr>
        <w:t xml:space="preserve">). These data suggest that mechanical stress is associated with apoptosis, which would be consistent with cell damage. While based on a limited number of proteins, these results provide evidence that apoptosis decreased under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conditions. However, it should be noted there was an increase in expression of a protein responsible for disposal of apoptotic cells (engulfment cell motility protein 2) with mechanical stress at 2800 µatm.  Changes to the normal apoptotic response could be detrimental to oysters, highlighting the importance of considering other environmental conditions when examining biological impacts of ocean acidification </w:t>
      </w:r>
    </w:p>
    <w:p w14:paraId="6475ABD5" w14:textId="33C75F3D" w:rsidR="00071B1D" w:rsidRPr="00295E93" w:rsidRDefault="00295E93" w:rsidP="00F451C2">
      <w:pPr>
        <w:spacing w:line="360" w:lineRule="auto"/>
        <w:ind w:firstLine="720"/>
        <w:rPr>
          <w:rFonts w:ascii="Times" w:hAnsi="Times"/>
        </w:rPr>
      </w:pPr>
      <w:r w:rsidRPr="00295E93">
        <w:rPr>
          <w:rFonts w:ascii="Times" w:hAnsi="Times"/>
        </w:rPr>
        <w:t xml:space="preserve">Further evidence of the interaction of multiple stresses on the proteomic response is how proteins that were differentially expressed in the response to ocean acidification alone (compared to 400 µatm) and in the response to mechanical stress at </w:t>
      </w:r>
      <w:bookmarkStart w:id="79" w:name="OLE_LINK66"/>
      <w:bookmarkStart w:id="80" w:name="OLE_LINK67"/>
      <w:bookmarkStart w:id="81" w:name="OLE_LINK68"/>
      <w:r w:rsidRPr="00295E93">
        <w:rPr>
          <w:rFonts w:ascii="Times" w:hAnsi="Times"/>
        </w:rPr>
        <w:t xml:space="preserve">2800 µatm </w:t>
      </w:r>
      <w:bookmarkEnd w:id="79"/>
      <w:bookmarkEnd w:id="80"/>
      <w:bookmarkEnd w:id="81"/>
      <w:r w:rsidRPr="00295E93">
        <w:rPr>
          <w:rFonts w:ascii="Times" w:hAnsi="Times"/>
        </w:rPr>
        <w:t xml:space="preserve">underwent a change in relative levels.  In response to elevated </w:t>
      </w:r>
      <w:r w:rsidRPr="00295E93">
        <w:rPr>
          <w:rFonts w:ascii="Times" w:hAnsi="Times"/>
          <w:i/>
        </w:rPr>
        <w:t>p</w:t>
      </w:r>
      <w:r w:rsidRPr="00295E93">
        <w:rPr>
          <w:rFonts w:ascii="Times" w:hAnsi="Times"/>
        </w:rPr>
        <w:t>CO</w:t>
      </w:r>
      <w:r w:rsidRPr="00295E93">
        <w:rPr>
          <w:rFonts w:ascii="Times" w:hAnsi="Times"/>
          <w:vertAlign w:val="subscript"/>
        </w:rPr>
        <w:t>2</w:t>
      </w:r>
      <w:r w:rsidRPr="00295E93">
        <w:rPr>
          <w:rFonts w:ascii="Times" w:hAnsi="Times"/>
        </w:rPr>
        <w:t xml:space="preserve"> alone, expression levels of proteins involved in carbohydrate metabolism</w:t>
      </w:r>
      <w:r w:rsidRPr="00295E93" w:rsidDel="00407E00">
        <w:rPr>
          <w:rFonts w:ascii="Times" w:hAnsi="Times"/>
        </w:rPr>
        <w:t xml:space="preserve"> </w:t>
      </w:r>
      <w:r w:rsidRPr="00295E93">
        <w:rPr>
          <w:rFonts w:ascii="Times" w:hAnsi="Times"/>
        </w:rPr>
        <w:t xml:space="preserve">were increased.  Proteins in this pathway were expressed lower </w:t>
      </w:r>
      <w:bookmarkStart w:id="82" w:name="OLE_LINK69"/>
      <w:bookmarkStart w:id="83" w:name="OLE_LINK70"/>
      <w:r w:rsidRPr="00295E93">
        <w:rPr>
          <w:rFonts w:ascii="Times" w:hAnsi="Times"/>
        </w:rPr>
        <w:t xml:space="preserve">at 2800 µatm </w:t>
      </w:r>
      <w:bookmarkEnd w:id="82"/>
      <w:bookmarkEnd w:id="83"/>
      <w:r w:rsidRPr="00295E93">
        <w:rPr>
          <w:rFonts w:ascii="Times" w:hAnsi="Times"/>
        </w:rPr>
        <w:t xml:space="preserve">in conjunction with mechanical stress, compared to </w:t>
      </w:r>
      <w:bookmarkStart w:id="84" w:name="OLE_LINK71"/>
      <w:bookmarkStart w:id="85" w:name="OLE_LINK72"/>
      <w:r w:rsidRPr="00295E93">
        <w:rPr>
          <w:rFonts w:ascii="Times" w:hAnsi="Times"/>
        </w:rPr>
        <w:t xml:space="preserve">2800 µatm exposure </w:t>
      </w:r>
      <w:bookmarkEnd w:id="84"/>
      <w:bookmarkEnd w:id="85"/>
      <w:r w:rsidRPr="00295E93">
        <w:rPr>
          <w:rFonts w:ascii="Times" w:hAnsi="Times"/>
        </w:rPr>
        <w:t xml:space="preserve">alone.  Specifically, in oysters exposed to elevated </w:t>
      </w:r>
      <w:r w:rsidRPr="00295E93">
        <w:rPr>
          <w:rFonts w:ascii="Times" w:hAnsi="Times"/>
          <w:i/>
        </w:rPr>
        <w:t>p</w:t>
      </w:r>
      <w:r w:rsidRPr="00295E93">
        <w:rPr>
          <w:rFonts w:ascii="Times" w:hAnsi="Times"/>
        </w:rPr>
        <w:t>CO</w:t>
      </w:r>
      <w:r w:rsidRPr="00295E93">
        <w:rPr>
          <w:rFonts w:ascii="Times" w:hAnsi="Times"/>
          <w:vertAlign w:val="subscript"/>
        </w:rPr>
        <w:t xml:space="preserve">2 </w:t>
      </w:r>
      <w:r w:rsidRPr="00295E93">
        <w:rPr>
          <w:rFonts w:ascii="Times" w:hAnsi="Times"/>
        </w:rPr>
        <w:t>alone, there was increased expression of a protein involved in anabolism of carbohydrates (succinyl-CoA ligase subunit B mitochondrial)</w:t>
      </w:r>
      <w:r w:rsidRPr="00295E93">
        <w:rPr>
          <w:rFonts w:ascii="Times" w:hAnsi="Times"/>
          <w:b/>
        </w:rPr>
        <w:t xml:space="preserve"> </w:t>
      </w:r>
      <w:r w:rsidRPr="00295E93">
        <w:rPr>
          <w:rFonts w:ascii="Times" w:hAnsi="Times"/>
        </w:rPr>
        <w:t xml:space="preserve">and decreased expression of a fucose metabolism protein (α-L fucosidase).  In contrast, oysters exposed to the additional mechanical stress at </w:t>
      </w:r>
      <w:bookmarkStart w:id="86" w:name="OLE_LINK73"/>
      <w:bookmarkStart w:id="87" w:name="OLE_LINK74"/>
      <w:bookmarkStart w:id="88" w:name="OLE_LINK17"/>
      <w:bookmarkStart w:id="89" w:name="OLE_LINK18"/>
      <w:r w:rsidRPr="00295E93">
        <w:rPr>
          <w:rFonts w:ascii="Times" w:hAnsi="Times"/>
        </w:rPr>
        <w:t xml:space="preserve">2800 µatm </w:t>
      </w:r>
      <w:bookmarkEnd w:id="86"/>
      <w:bookmarkEnd w:id="87"/>
      <w:r w:rsidRPr="00295E93">
        <w:rPr>
          <w:rFonts w:ascii="Times" w:hAnsi="Times"/>
        </w:rPr>
        <w:t xml:space="preserve">exposure </w:t>
      </w:r>
      <w:bookmarkEnd w:id="88"/>
      <w:bookmarkEnd w:id="89"/>
      <w:r w:rsidRPr="00295E93">
        <w:rPr>
          <w:rFonts w:ascii="Times" w:hAnsi="Times"/>
        </w:rPr>
        <w:t xml:space="preserve">demonstrated a decreased expression of a carbohydrate anabolism protein (6-phosphogluconolactonase) and greater expression of α-L fucosidase compared to 2800 µatm exposure alone. These data suggest that when an oyster is exposed to both environmental stressors used in this experiment a tipping point was reached where there were not sufficient resources for carbohydrate anabolism and carbohydrate stores were needed to meet the energetic demands imposed by the stress. Given the resources needed to sustain a response to an environmental stress, this phenomenon could be detrimental. Another example is with </w:t>
      </w:r>
      <w:bookmarkStart w:id="90" w:name="OLE_LINK75"/>
      <w:bookmarkStart w:id="91" w:name="OLE_LINK76"/>
      <w:r w:rsidRPr="00295E93">
        <w:rPr>
          <w:rFonts w:ascii="Times" w:hAnsi="Times"/>
        </w:rPr>
        <w:t>serine-pyruvate aminotransferase</w:t>
      </w:r>
      <w:bookmarkEnd w:id="90"/>
      <w:bookmarkEnd w:id="91"/>
      <w:r w:rsidRPr="00295E93">
        <w:rPr>
          <w:rFonts w:ascii="Times" w:hAnsi="Times"/>
        </w:rPr>
        <w:t xml:space="preserve">, a protein in the tricarboxylic acid cycle. Serine-pyruvate aminotransferase was expressed at lower levels under elevated </w:t>
      </w:r>
      <w:r w:rsidRPr="00295E93">
        <w:rPr>
          <w:rFonts w:ascii="Times" w:hAnsi="Times"/>
          <w:i/>
        </w:rPr>
        <w:t>p</w:t>
      </w:r>
      <w:r w:rsidRPr="00295E93">
        <w:rPr>
          <w:rFonts w:ascii="Times" w:hAnsi="Times"/>
        </w:rPr>
        <w:t>CO</w:t>
      </w:r>
      <w:r w:rsidRPr="00295E93">
        <w:rPr>
          <w:rFonts w:ascii="Times" w:hAnsi="Times"/>
          <w:vertAlign w:val="subscript"/>
        </w:rPr>
        <w:t xml:space="preserve">2 </w:t>
      </w:r>
      <w:r w:rsidRPr="00295E93">
        <w:rPr>
          <w:rFonts w:ascii="Times" w:hAnsi="Times"/>
        </w:rPr>
        <w:t xml:space="preserve">alone, but, in comparing oysters exposed to elevated </w:t>
      </w:r>
      <w:r w:rsidRPr="00295E93">
        <w:rPr>
          <w:rFonts w:ascii="Times" w:hAnsi="Times"/>
          <w:i/>
        </w:rPr>
        <w:t>p</w:t>
      </w:r>
      <w:r w:rsidRPr="00295E93">
        <w:rPr>
          <w:rFonts w:ascii="Times" w:hAnsi="Times"/>
        </w:rPr>
        <w:t>CO</w:t>
      </w:r>
      <w:r w:rsidRPr="00295E93">
        <w:rPr>
          <w:rFonts w:ascii="Times" w:hAnsi="Times"/>
          <w:vertAlign w:val="subscript"/>
        </w:rPr>
        <w:t xml:space="preserve">2 </w:t>
      </w:r>
      <w:r w:rsidRPr="00295E93">
        <w:rPr>
          <w:rFonts w:ascii="Times" w:hAnsi="Times"/>
        </w:rPr>
        <w:t xml:space="preserve">to those exposed to mechanical stimulation at elevated </w:t>
      </w:r>
      <w:r w:rsidRPr="00295E93">
        <w:rPr>
          <w:rFonts w:ascii="Times" w:hAnsi="Times"/>
          <w:i/>
        </w:rPr>
        <w:t>p</w:t>
      </w:r>
      <w:r w:rsidRPr="00295E93">
        <w:rPr>
          <w:rFonts w:ascii="Times" w:hAnsi="Times"/>
        </w:rPr>
        <w:t>CO</w:t>
      </w:r>
      <w:r w:rsidRPr="00295E93">
        <w:rPr>
          <w:rFonts w:ascii="Times" w:hAnsi="Times"/>
          <w:vertAlign w:val="subscript"/>
        </w:rPr>
        <w:t>2</w:t>
      </w:r>
      <w:r w:rsidRPr="00295E93">
        <w:rPr>
          <w:rFonts w:ascii="Times" w:hAnsi="Times"/>
        </w:rPr>
        <w:t xml:space="preserve">, expression was increased. Stress from mechanical stimulation impacts expression of proteins involved in many of the processes that were influenced by elevated </w:t>
      </w:r>
      <w:r w:rsidRPr="00295E93">
        <w:rPr>
          <w:rFonts w:ascii="Times" w:hAnsi="Times"/>
          <w:i/>
        </w:rPr>
        <w:t>p</w:t>
      </w:r>
      <w:r w:rsidRPr="00295E93">
        <w:rPr>
          <w:rFonts w:ascii="Times" w:hAnsi="Times"/>
        </w:rPr>
        <w:t>CO</w:t>
      </w:r>
      <w:r w:rsidRPr="00295E93">
        <w:rPr>
          <w:rFonts w:ascii="Times" w:hAnsi="Times"/>
          <w:vertAlign w:val="subscript"/>
        </w:rPr>
        <w:t>2</w:t>
      </w:r>
      <w:r w:rsidRPr="00295E93">
        <w:rPr>
          <w:rFonts w:ascii="Times" w:hAnsi="Times"/>
        </w:rPr>
        <w:t>,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to ocean acidification could have significant implications for survival and potential for adaptation.</w:t>
      </w:r>
    </w:p>
    <w:p w14:paraId="7A9F1508" w14:textId="43F6C233" w:rsidR="00071B1D" w:rsidRDefault="00071B1D" w:rsidP="00071B1D">
      <w:pPr>
        <w:pStyle w:val="Heading3"/>
      </w:pPr>
      <w:bookmarkStart w:id="92" w:name="_Toc249155397"/>
      <w:r>
        <w:t>Conclusion</w:t>
      </w:r>
      <w:bookmarkEnd w:id="92"/>
    </w:p>
    <w:p w14:paraId="7C09BA8B" w14:textId="0407156C" w:rsidR="00071B1D" w:rsidRPr="00295E93" w:rsidRDefault="00295E93" w:rsidP="00071B1D">
      <w:pPr>
        <w:pStyle w:val="normal0"/>
        <w:spacing w:line="360" w:lineRule="auto"/>
        <w:ind w:firstLine="720"/>
        <w:rPr>
          <w:rFonts w:ascii="Times" w:hAnsi="Times"/>
          <w:sz w:val="24"/>
        </w:rPr>
      </w:pPr>
      <w:r w:rsidRPr="00295E93">
        <w:rPr>
          <w:rFonts w:ascii="Times" w:hAnsi="Times"/>
          <w:sz w:val="24"/>
        </w:rPr>
        <w:t xml:space="preserve">Even though ocean acidification is frequently portrayed as detrimental to marine calcifiers, its effects on invertebrates range well beyond changes to the calcification process.  In this study, a wide variety of processes and responses were assessed in the Pacific oyster’s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to better understand the physiological trade-offs that occur during this particular stress response.  Shell growth was not affected by ocean acidification after one month, but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affect the integrity of the deposited shell material.  Relative amounts of fatty acids, which are necessary for continued survival and execution of other energy-consuming processes, were also unaltered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Mortality in response to acute heat shock remained unaffected as well. The proteomic profile of </w:t>
      </w:r>
      <w:r w:rsidRPr="00295E93">
        <w:rPr>
          <w:rFonts w:ascii="Times" w:hAnsi="Times"/>
          <w:i/>
          <w:sz w:val="24"/>
        </w:rPr>
        <w:t>C. gigas</w:t>
      </w:r>
      <w:r w:rsidRPr="00295E93">
        <w:rPr>
          <w:rFonts w:ascii="Times" w:hAnsi="Times"/>
          <w:sz w:val="24"/>
        </w:rPr>
        <w:t xml:space="preserve"> gill tissue was significantly altered by ocean acidification, elucidating the molecular physiological costs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From a proteomics perspective, ocean acidification also affected </w:t>
      </w:r>
      <w:r w:rsidRPr="00295E93">
        <w:rPr>
          <w:rFonts w:ascii="Times" w:hAnsi="Times"/>
          <w:i/>
          <w:sz w:val="24"/>
        </w:rPr>
        <w:t>C. gigas</w:t>
      </w:r>
      <w:r w:rsidRPr="00295E93">
        <w:rPr>
          <w:rFonts w:ascii="Times" w:hAnsi="Times"/>
          <w:sz w:val="24"/>
        </w:rPr>
        <w:t xml:space="preserve">’s response to an additional stress event.  Shell integrity and response to a second stress become important in a dynamic environment, or when there are multiple predators, and in this way ocean acidification may decrease </w:t>
      </w:r>
      <w:r w:rsidRPr="00295E93">
        <w:rPr>
          <w:rFonts w:ascii="Times" w:hAnsi="Times"/>
          <w:i/>
          <w:sz w:val="24"/>
        </w:rPr>
        <w:t>C. gigas</w:t>
      </w:r>
      <w:r w:rsidRPr="00295E93">
        <w:rPr>
          <w:rFonts w:ascii="Times" w:hAnsi="Times"/>
          <w:sz w:val="24"/>
        </w:rPr>
        <w:t xml:space="preserve"> fitness under chronic exposure.</w:t>
      </w:r>
    </w:p>
    <w:p w14:paraId="6D8B6C1B" w14:textId="77777777" w:rsidR="00071B1D" w:rsidRPr="00071B1D" w:rsidRDefault="00071B1D" w:rsidP="00071B1D"/>
    <w:p w14:paraId="06C81894" w14:textId="16175847" w:rsidR="00C02D9B" w:rsidRDefault="00071B1D" w:rsidP="00071B1D">
      <w:pPr>
        <w:pStyle w:val="Heading2"/>
      </w:pPr>
      <w:bookmarkStart w:id="93" w:name="_Toc249155398"/>
      <w:r>
        <w:t>Acknowledgements</w:t>
      </w:r>
      <w:bookmarkEnd w:id="93"/>
    </w:p>
    <w:p w14:paraId="24AFE9EE" w14:textId="7362E13D" w:rsidR="00071B1D" w:rsidRPr="00071B1D" w:rsidRDefault="00295E93" w:rsidP="00071B1D">
      <w:r w:rsidRPr="00B14C1B">
        <w:rPr>
          <w:rFonts w:ascii="Times" w:hAnsi="Times"/>
          <w:szCs w:val="22"/>
        </w:rPr>
        <w:t>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Oyster sampling was aided by Sam White, Mackenzie Gavery, and Caroline Storer.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18A256C4" w14:textId="12C7181E" w:rsidR="00071B1D" w:rsidRDefault="00071B1D" w:rsidP="00071B1D">
      <w:pPr>
        <w:pStyle w:val="Heading2"/>
      </w:pPr>
      <w:bookmarkStart w:id="94" w:name="_Toc249155399"/>
      <w:r>
        <w:t>References</w:t>
      </w:r>
      <w:bookmarkEnd w:id="94"/>
    </w:p>
    <w:p w14:paraId="0C0991EF" w14:textId="77777777" w:rsidR="00A42AD1" w:rsidRPr="008047DF" w:rsidRDefault="00A42AD1" w:rsidP="00A42AD1">
      <w:pPr>
        <w:pStyle w:val="NormalWeb"/>
        <w:spacing w:line="360" w:lineRule="auto"/>
        <w:ind w:left="480" w:hanging="480"/>
        <w:rPr>
          <w:noProof/>
          <w:sz w:val="22"/>
        </w:rPr>
      </w:pPr>
      <w:r w:rsidRPr="00DD3163">
        <w:rPr>
          <w:b/>
          <w:noProof/>
          <w:sz w:val="22"/>
        </w:rPr>
        <w:t xml:space="preserve">Altschul, S. </w:t>
      </w:r>
      <w:r>
        <w:rPr>
          <w:b/>
          <w:noProof/>
          <w:sz w:val="22"/>
        </w:rPr>
        <w:t>F., Madden, T. L., Schäffer, A.A.</w:t>
      </w:r>
      <w:r w:rsidRPr="00DD3163">
        <w:rPr>
          <w:b/>
          <w:noProof/>
          <w:sz w:val="22"/>
        </w:rPr>
        <w:t>, Zha</w:t>
      </w:r>
      <w:r>
        <w:rPr>
          <w:b/>
          <w:noProof/>
          <w:sz w:val="22"/>
        </w:rPr>
        <w:t>ng, J., Zhang, Z., Miller, W., and</w:t>
      </w:r>
      <w:r w:rsidRPr="00DD3163">
        <w:rPr>
          <w:b/>
          <w:noProof/>
          <w:sz w:val="22"/>
        </w:rPr>
        <w:t xml:space="preserve"> Lipman, D. J. </w:t>
      </w:r>
      <w:r w:rsidRPr="008047DF">
        <w:rPr>
          <w:noProof/>
          <w:sz w:val="22"/>
        </w:rPr>
        <w:t xml:space="preserve">(1997). Gapped BLAST and PSI-BLAST: a new generation of protein database search programs. </w:t>
      </w:r>
      <w:r w:rsidRPr="008047DF">
        <w:rPr>
          <w:i/>
          <w:iCs/>
          <w:noProof/>
          <w:sz w:val="22"/>
        </w:rPr>
        <w:t>Nucleic acids research</w:t>
      </w:r>
      <w:r w:rsidRPr="008047DF">
        <w:rPr>
          <w:noProof/>
          <w:sz w:val="22"/>
        </w:rPr>
        <w:t xml:space="preserve">, </w:t>
      </w:r>
      <w:r w:rsidRPr="00DD3163">
        <w:rPr>
          <w:b/>
          <w:iCs/>
          <w:noProof/>
          <w:sz w:val="22"/>
        </w:rPr>
        <w:t>25</w:t>
      </w:r>
      <w:r w:rsidRPr="008047DF">
        <w:rPr>
          <w:noProof/>
          <w:sz w:val="22"/>
        </w:rPr>
        <w:t xml:space="preserve">(17), 3389–402. </w:t>
      </w:r>
    </w:p>
    <w:p w14:paraId="66303618" w14:textId="77777777" w:rsidR="00A42AD1" w:rsidRPr="008047DF" w:rsidRDefault="00A42AD1" w:rsidP="00A42AD1">
      <w:pPr>
        <w:pStyle w:val="NormalWeb"/>
        <w:spacing w:line="360" w:lineRule="auto"/>
        <w:ind w:left="480" w:hanging="480"/>
        <w:rPr>
          <w:noProof/>
          <w:sz w:val="22"/>
        </w:rPr>
      </w:pPr>
      <w:r w:rsidRPr="00DD3163">
        <w:rPr>
          <w:b/>
          <w:noProof/>
          <w:sz w:val="22"/>
        </w:rPr>
        <w:t>Anstis, G. R</w:t>
      </w:r>
      <w:r>
        <w:rPr>
          <w:b/>
          <w:noProof/>
          <w:sz w:val="22"/>
        </w:rPr>
        <w:t>., Chantikul, P., Lawn, B. R., and</w:t>
      </w:r>
      <w:r w:rsidRPr="00DD3163">
        <w:rPr>
          <w:b/>
          <w:noProof/>
          <w:sz w:val="22"/>
        </w:rPr>
        <w:t xml:space="preserve"> Marshall, D. B.</w:t>
      </w:r>
      <w:r w:rsidRPr="008047DF">
        <w:rPr>
          <w:noProof/>
          <w:sz w:val="22"/>
        </w:rPr>
        <w:t xml:space="preserve"> (1981). A critical evaluation of indentation techniques for measuring fracture toughness: I, direct crack measurements. </w:t>
      </w:r>
      <w:r w:rsidRPr="008047DF">
        <w:rPr>
          <w:i/>
          <w:iCs/>
          <w:noProof/>
          <w:sz w:val="22"/>
        </w:rPr>
        <w:t>Journal of the American Ceramic Society</w:t>
      </w:r>
      <w:r w:rsidRPr="008047DF">
        <w:rPr>
          <w:noProof/>
          <w:sz w:val="22"/>
        </w:rPr>
        <w:t xml:space="preserve">, </w:t>
      </w:r>
      <w:r w:rsidRPr="00DD3163">
        <w:rPr>
          <w:b/>
          <w:iCs/>
          <w:noProof/>
          <w:sz w:val="22"/>
        </w:rPr>
        <w:t>46</w:t>
      </w:r>
      <w:r w:rsidRPr="008047DF">
        <w:rPr>
          <w:noProof/>
          <w:sz w:val="22"/>
        </w:rPr>
        <w:t>(9), 533–538.</w:t>
      </w:r>
    </w:p>
    <w:p w14:paraId="6298205E" w14:textId="77777777" w:rsidR="00A42AD1" w:rsidRPr="008047DF" w:rsidRDefault="00A42AD1" w:rsidP="00A42AD1">
      <w:pPr>
        <w:pStyle w:val="NormalWeb"/>
        <w:spacing w:line="360" w:lineRule="auto"/>
        <w:ind w:left="480" w:hanging="480"/>
        <w:rPr>
          <w:noProof/>
          <w:sz w:val="22"/>
        </w:rPr>
      </w:pPr>
      <w:r w:rsidRPr="00DD3163">
        <w:rPr>
          <w:b/>
          <w:noProof/>
          <w:sz w:val="22"/>
        </w:rPr>
        <w:t>Bal</w:t>
      </w:r>
      <w:r>
        <w:rPr>
          <w:b/>
          <w:noProof/>
          <w:sz w:val="22"/>
        </w:rPr>
        <w:t>dassarri, M., Margolis, H. C., and</w:t>
      </w:r>
      <w:r w:rsidRPr="00DD3163">
        <w:rPr>
          <w:b/>
          <w:noProof/>
          <w:sz w:val="22"/>
        </w:rPr>
        <w:t xml:space="preserve"> Beniash, E. </w:t>
      </w:r>
      <w:r w:rsidRPr="008047DF">
        <w:rPr>
          <w:noProof/>
          <w:sz w:val="22"/>
        </w:rPr>
        <w:t xml:space="preserve">(2008). Compositional Determinants of Mechanical Properties of Enamel. </w:t>
      </w:r>
      <w:r w:rsidRPr="008047DF">
        <w:rPr>
          <w:i/>
          <w:iCs/>
          <w:noProof/>
          <w:sz w:val="22"/>
        </w:rPr>
        <w:t>Journal of Dental Research</w:t>
      </w:r>
      <w:r w:rsidRPr="008047DF">
        <w:rPr>
          <w:noProof/>
          <w:sz w:val="22"/>
        </w:rPr>
        <w:t xml:space="preserve">, </w:t>
      </w:r>
      <w:r w:rsidRPr="00DD3163">
        <w:rPr>
          <w:b/>
          <w:iCs/>
          <w:noProof/>
          <w:sz w:val="22"/>
        </w:rPr>
        <w:t>87</w:t>
      </w:r>
      <w:r w:rsidRPr="008047DF">
        <w:rPr>
          <w:noProof/>
          <w:sz w:val="22"/>
        </w:rPr>
        <w:t>(7), 645–649. doi:10.1177/154405910808700711</w:t>
      </w:r>
    </w:p>
    <w:p w14:paraId="011E9456" w14:textId="77777777" w:rsidR="00A42AD1" w:rsidRPr="008047DF" w:rsidRDefault="00A42AD1" w:rsidP="00A42AD1">
      <w:pPr>
        <w:pStyle w:val="NormalWeb"/>
        <w:spacing w:line="360" w:lineRule="auto"/>
        <w:ind w:left="480" w:hanging="480"/>
        <w:rPr>
          <w:noProof/>
          <w:sz w:val="22"/>
        </w:rPr>
      </w:pPr>
      <w:r w:rsidRPr="00DD3163">
        <w:rPr>
          <w:b/>
          <w:noProof/>
          <w:sz w:val="22"/>
        </w:rPr>
        <w:t>Barton, A., Hales, B., Waldbusser, G</w:t>
      </w:r>
      <w:r>
        <w:rPr>
          <w:b/>
          <w:noProof/>
          <w:sz w:val="22"/>
        </w:rPr>
        <w:t>. G., Langdon, C., and Feely, R.A</w:t>
      </w:r>
      <w:r w:rsidRPr="00DD3163">
        <w:rPr>
          <w:b/>
          <w:noProof/>
          <w:sz w:val="22"/>
        </w:rPr>
        <w:t>.</w:t>
      </w:r>
      <w:r w:rsidRPr="008047DF">
        <w:rPr>
          <w:noProof/>
          <w:sz w:val="22"/>
        </w:rPr>
        <w:t xml:space="preserve"> (2012). The Pacific oyster, Crassostrea gigas, shows negative correlation to naturally elevated carbon dioxide levels: Implications for near-term ocean acidification effects. </w:t>
      </w:r>
      <w:r w:rsidRPr="008047DF">
        <w:rPr>
          <w:i/>
          <w:iCs/>
          <w:noProof/>
          <w:sz w:val="22"/>
        </w:rPr>
        <w:t>Limnology and Oceanography</w:t>
      </w:r>
      <w:r w:rsidRPr="008047DF">
        <w:rPr>
          <w:noProof/>
          <w:sz w:val="22"/>
        </w:rPr>
        <w:t xml:space="preserve">, </w:t>
      </w:r>
      <w:r w:rsidRPr="00DD3163">
        <w:rPr>
          <w:b/>
          <w:iCs/>
          <w:noProof/>
          <w:sz w:val="22"/>
        </w:rPr>
        <w:t>57</w:t>
      </w:r>
      <w:r w:rsidRPr="008047DF">
        <w:rPr>
          <w:noProof/>
          <w:sz w:val="22"/>
        </w:rPr>
        <w:t>(3), 698–710. doi:10.4319/lo.2012.57.3.0698</w:t>
      </w:r>
    </w:p>
    <w:p w14:paraId="0D2D6716" w14:textId="77777777" w:rsidR="00A42AD1" w:rsidRPr="008047DF" w:rsidRDefault="00A42AD1" w:rsidP="00A42AD1">
      <w:pPr>
        <w:pStyle w:val="NormalWeb"/>
        <w:spacing w:line="360" w:lineRule="auto"/>
        <w:ind w:left="480" w:hanging="480"/>
        <w:rPr>
          <w:noProof/>
          <w:sz w:val="22"/>
        </w:rPr>
      </w:pPr>
      <w:r w:rsidRPr="00DD3163">
        <w:rPr>
          <w:b/>
          <w:noProof/>
          <w:sz w:val="22"/>
        </w:rPr>
        <w:t>Beniash, E., Ivanin</w:t>
      </w:r>
      <w:r>
        <w:rPr>
          <w:b/>
          <w:noProof/>
          <w:sz w:val="22"/>
        </w:rPr>
        <w:t>a, A., Lieb, N., Kurochkin, I., and</w:t>
      </w:r>
      <w:r w:rsidRPr="00DD3163">
        <w:rPr>
          <w:b/>
          <w:noProof/>
          <w:sz w:val="22"/>
        </w:rPr>
        <w:t xml:space="preserve"> Sokolova, I.</w:t>
      </w:r>
      <w:r w:rsidRPr="008047DF">
        <w:rPr>
          <w:noProof/>
          <w:sz w:val="22"/>
        </w:rPr>
        <w:t xml:space="preserve"> (2010). Elevated level of carbon dioxide affects metabolism and shell formation in oysters Crassostrea virginica (Gmelin). </w:t>
      </w:r>
      <w:r w:rsidRPr="008047DF">
        <w:rPr>
          <w:i/>
          <w:iCs/>
          <w:noProof/>
          <w:sz w:val="22"/>
        </w:rPr>
        <w:t>Marine Ecology Progress Series</w:t>
      </w:r>
      <w:r w:rsidRPr="008047DF">
        <w:rPr>
          <w:noProof/>
          <w:sz w:val="22"/>
        </w:rPr>
        <w:t xml:space="preserve">, </w:t>
      </w:r>
      <w:r w:rsidRPr="00DD3163">
        <w:rPr>
          <w:b/>
          <w:iCs/>
          <w:noProof/>
          <w:sz w:val="22"/>
        </w:rPr>
        <w:t>419</w:t>
      </w:r>
      <w:r w:rsidRPr="008047DF">
        <w:rPr>
          <w:noProof/>
          <w:sz w:val="22"/>
        </w:rPr>
        <w:t>, 95–108. doi:10.3354/meps08841</w:t>
      </w:r>
    </w:p>
    <w:p w14:paraId="21D8612E" w14:textId="77777777" w:rsidR="00A42AD1" w:rsidRPr="008047DF" w:rsidRDefault="00A42AD1" w:rsidP="00A42AD1">
      <w:pPr>
        <w:pStyle w:val="NormalWeb"/>
        <w:spacing w:line="360" w:lineRule="auto"/>
        <w:ind w:left="480" w:hanging="480"/>
        <w:rPr>
          <w:noProof/>
          <w:sz w:val="22"/>
        </w:rPr>
      </w:pPr>
      <w:r w:rsidRPr="00DD3163">
        <w:rPr>
          <w:b/>
          <w:noProof/>
          <w:sz w:val="22"/>
        </w:rPr>
        <w:t xml:space="preserve">Both, A., </w:t>
      </w:r>
      <w:r>
        <w:rPr>
          <w:b/>
          <w:noProof/>
          <w:sz w:val="22"/>
        </w:rPr>
        <w:t>Parrish, C. C., Penney, R. W.,  and</w:t>
      </w:r>
      <w:r w:rsidRPr="00DD3163">
        <w:rPr>
          <w:b/>
          <w:noProof/>
          <w:sz w:val="22"/>
        </w:rPr>
        <w:t xml:space="preserve"> Thompson, R. J. </w:t>
      </w:r>
      <w:r w:rsidRPr="008047DF">
        <w:rPr>
          <w:noProof/>
          <w:sz w:val="22"/>
        </w:rPr>
        <w:t>(2011). Lipid composition of Mytilus edulis reared on organic waste from a Ga</w:t>
      </w:r>
      <w:r>
        <w:rPr>
          <w:noProof/>
          <w:sz w:val="22"/>
        </w:rPr>
        <w:t xml:space="preserve">dus morhua aquaculture facility. </w:t>
      </w:r>
      <w:r>
        <w:rPr>
          <w:i/>
          <w:noProof/>
          <w:sz w:val="22"/>
        </w:rPr>
        <w:t>Aquatic Living Resources</w:t>
      </w:r>
      <w:r>
        <w:rPr>
          <w:noProof/>
          <w:sz w:val="22"/>
        </w:rPr>
        <w:t>,</w:t>
      </w:r>
      <w:r w:rsidRPr="008047DF">
        <w:rPr>
          <w:noProof/>
          <w:sz w:val="22"/>
        </w:rPr>
        <w:t xml:space="preserve"> </w:t>
      </w:r>
      <w:r w:rsidRPr="00DD3163">
        <w:rPr>
          <w:b/>
          <w:iCs/>
          <w:noProof/>
          <w:sz w:val="22"/>
        </w:rPr>
        <w:t>301</w:t>
      </w:r>
      <w:r w:rsidRPr="008047DF">
        <w:rPr>
          <w:noProof/>
          <w:sz w:val="22"/>
        </w:rPr>
        <w:t>, 295–301.</w:t>
      </w:r>
    </w:p>
    <w:p w14:paraId="0514EACF" w14:textId="77777777" w:rsidR="00A42AD1" w:rsidRPr="008047DF" w:rsidRDefault="00A42AD1" w:rsidP="00A42AD1">
      <w:pPr>
        <w:pStyle w:val="NormalWeb"/>
        <w:spacing w:line="360" w:lineRule="auto"/>
        <w:ind w:left="480" w:hanging="480"/>
        <w:rPr>
          <w:noProof/>
          <w:sz w:val="22"/>
        </w:rPr>
      </w:pPr>
      <w:r w:rsidRPr="00727346">
        <w:rPr>
          <w:b/>
          <w:noProof/>
          <w:sz w:val="22"/>
        </w:rPr>
        <w:t>Caldeira, K.</w:t>
      </w:r>
      <w:r>
        <w:rPr>
          <w:b/>
          <w:noProof/>
          <w:sz w:val="22"/>
        </w:rPr>
        <w:t xml:space="preserve"> and Wickett</w:t>
      </w:r>
      <w:r w:rsidRPr="00727346">
        <w:rPr>
          <w:b/>
          <w:noProof/>
          <w:sz w:val="22"/>
        </w:rPr>
        <w:t>, M.E.</w:t>
      </w:r>
      <w:r w:rsidRPr="008047DF">
        <w:rPr>
          <w:noProof/>
          <w:sz w:val="22"/>
        </w:rPr>
        <w:t xml:space="preserve"> (2005). Ocean model predictions of chemistry changes from carbon dioxide emissions to the atmosphere and ocean. </w:t>
      </w:r>
      <w:r w:rsidRPr="008047DF">
        <w:rPr>
          <w:i/>
          <w:iCs/>
          <w:noProof/>
          <w:sz w:val="22"/>
        </w:rPr>
        <w:t>Journal of Geophysical Research</w:t>
      </w:r>
      <w:r w:rsidRPr="008047DF">
        <w:rPr>
          <w:noProof/>
          <w:sz w:val="22"/>
        </w:rPr>
        <w:t xml:space="preserve">, </w:t>
      </w:r>
      <w:r w:rsidRPr="00DD3163">
        <w:rPr>
          <w:b/>
          <w:iCs/>
          <w:noProof/>
          <w:sz w:val="22"/>
        </w:rPr>
        <w:t>110</w:t>
      </w:r>
      <w:r w:rsidRPr="008047DF">
        <w:rPr>
          <w:noProof/>
          <w:sz w:val="22"/>
        </w:rPr>
        <w:t>, C09S04. doi:10.1029/2004JC002671</w:t>
      </w:r>
    </w:p>
    <w:p w14:paraId="0E80AECD" w14:textId="77777777" w:rsidR="00A42AD1" w:rsidRPr="008047DF" w:rsidRDefault="00A42AD1" w:rsidP="00A42AD1">
      <w:pPr>
        <w:pStyle w:val="NormalWeb"/>
        <w:spacing w:line="360" w:lineRule="auto"/>
        <w:ind w:left="480" w:hanging="480"/>
        <w:rPr>
          <w:noProof/>
          <w:sz w:val="22"/>
        </w:rPr>
      </w:pPr>
      <w:r>
        <w:rPr>
          <w:b/>
          <w:noProof/>
          <w:sz w:val="22"/>
        </w:rPr>
        <w:t>Clegg, J. S., Uhlinger, K. R., and</w:t>
      </w:r>
      <w:r w:rsidRPr="00727346">
        <w:rPr>
          <w:b/>
          <w:noProof/>
          <w:sz w:val="22"/>
        </w:rPr>
        <w:t xml:space="preserve"> Jackson, S. A.</w:t>
      </w:r>
      <w:r w:rsidRPr="008047DF">
        <w:rPr>
          <w:noProof/>
          <w:sz w:val="22"/>
        </w:rPr>
        <w:t xml:space="preserve"> (2009). Induced thermotolerance and the heat shock protein – 70 family in the Pacific oyster Crassostrea gigas, </w:t>
      </w:r>
      <w:r w:rsidRPr="00727346">
        <w:rPr>
          <w:b/>
          <w:iCs/>
          <w:noProof/>
          <w:sz w:val="22"/>
        </w:rPr>
        <w:t>7</w:t>
      </w:r>
      <w:r w:rsidRPr="008047DF">
        <w:rPr>
          <w:noProof/>
          <w:sz w:val="22"/>
        </w:rPr>
        <w:t>(1998), 21–30.</w:t>
      </w:r>
    </w:p>
    <w:p w14:paraId="79BEB504" w14:textId="77777777" w:rsidR="00A42AD1" w:rsidRPr="008047DF" w:rsidRDefault="00A42AD1" w:rsidP="00A42AD1">
      <w:pPr>
        <w:pStyle w:val="NormalWeb"/>
        <w:spacing w:line="360" w:lineRule="auto"/>
        <w:ind w:left="480" w:hanging="480"/>
        <w:rPr>
          <w:noProof/>
          <w:sz w:val="22"/>
        </w:rPr>
      </w:pPr>
      <w:r>
        <w:rPr>
          <w:b/>
          <w:noProof/>
          <w:sz w:val="22"/>
        </w:rPr>
        <w:t>Dabney, A. and</w:t>
      </w:r>
      <w:r w:rsidRPr="00727346">
        <w:rPr>
          <w:b/>
          <w:noProof/>
          <w:sz w:val="22"/>
        </w:rPr>
        <w:t xml:space="preserve"> Storey, J.D. and with assistance from Warnes, G.R.</w:t>
      </w:r>
      <w:r w:rsidRPr="008047DF">
        <w:rPr>
          <w:noProof/>
          <w:sz w:val="22"/>
        </w:rPr>
        <w:t xml:space="preserve"> (). qvalue: Q-value estimation for false discovery rate control. R package version 1.34.0.</w:t>
      </w:r>
    </w:p>
    <w:p w14:paraId="2433480A"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David, </w:t>
      </w:r>
      <w:r>
        <w:rPr>
          <w:b/>
          <w:noProof/>
          <w:sz w:val="22"/>
        </w:rPr>
        <w:t>E., Tanguy, A., Pichavant, K., and</w:t>
      </w:r>
      <w:r w:rsidRPr="00727346">
        <w:rPr>
          <w:b/>
          <w:noProof/>
          <w:sz w:val="22"/>
        </w:rPr>
        <w:t xml:space="preserve"> Moraga, D.</w:t>
      </w:r>
      <w:r w:rsidRPr="008047DF">
        <w:rPr>
          <w:noProof/>
          <w:sz w:val="22"/>
        </w:rPr>
        <w:t xml:space="preserve"> (2005). Response of the Pacific oyster Crassostrea gigas to hypoxia exposure under experimental conditions. </w:t>
      </w:r>
      <w:r w:rsidRPr="008047DF">
        <w:rPr>
          <w:i/>
          <w:iCs/>
          <w:noProof/>
          <w:sz w:val="22"/>
        </w:rPr>
        <w:t>The FEBS journal</w:t>
      </w:r>
      <w:r w:rsidRPr="008047DF">
        <w:rPr>
          <w:noProof/>
          <w:sz w:val="22"/>
        </w:rPr>
        <w:t xml:space="preserve">, </w:t>
      </w:r>
      <w:r w:rsidRPr="00727346">
        <w:rPr>
          <w:b/>
          <w:iCs/>
          <w:noProof/>
          <w:sz w:val="22"/>
        </w:rPr>
        <w:t>272</w:t>
      </w:r>
      <w:r w:rsidRPr="008047DF">
        <w:rPr>
          <w:noProof/>
          <w:sz w:val="22"/>
        </w:rPr>
        <w:t>(21), 5635–52. doi:10.1111/j.1742-4658.2005.04960.x</w:t>
      </w:r>
    </w:p>
    <w:p w14:paraId="5E5F60F4"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Dean, J. B. </w:t>
      </w:r>
      <w:r w:rsidRPr="008047DF">
        <w:rPr>
          <w:noProof/>
          <w:sz w:val="22"/>
        </w:rPr>
        <w:t>(2010). Hypercapnia causes cellular oxidation and nitrosation in addition to acidosis</w:t>
      </w:r>
      <w:r w:rsidRPr="008047DF">
        <w:rPr>
          <w:rFonts w:ascii="Times New Roman" w:hAnsi="Times New Roman"/>
          <w:noProof/>
          <w:sz w:val="22"/>
        </w:rPr>
        <w:t> </w:t>
      </w:r>
      <w:r>
        <w:rPr>
          <w:noProof/>
          <w:sz w:val="22"/>
        </w:rPr>
        <w:t>: implications for CO</w:t>
      </w:r>
      <w:r w:rsidRPr="0079158C">
        <w:rPr>
          <w:noProof/>
          <w:sz w:val="22"/>
          <w:vertAlign w:val="subscript"/>
        </w:rPr>
        <w:t>2</w:t>
      </w:r>
      <w:r w:rsidRPr="008047DF">
        <w:rPr>
          <w:noProof/>
          <w:sz w:val="22"/>
        </w:rPr>
        <w:t xml:space="preserve"> chemoreceptor function and dysfunc</w:t>
      </w:r>
      <w:r>
        <w:rPr>
          <w:noProof/>
          <w:sz w:val="22"/>
        </w:rPr>
        <w:t xml:space="preserve">tion. </w:t>
      </w:r>
      <w:r>
        <w:rPr>
          <w:i/>
          <w:noProof/>
          <w:sz w:val="22"/>
        </w:rPr>
        <w:t>J Appl Physiol</w:t>
      </w:r>
      <w:r>
        <w:rPr>
          <w:noProof/>
          <w:sz w:val="22"/>
        </w:rPr>
        <w:t xml:space="preserve">, </w:t>
      </w:r>
      <w:r>
        <w:rPr>
          <w:b/>
          <w:noProof/>
          <w:sz w:val="22"/>
        </w:rPr>
        <w:t>108</w:t>
      </w:r>
      <w:r>
        <w:rPr>
          <w:noProof/>
          <w:sz w:val="22"/>
        </w:rPr>
        <w:t>,</w:t>
      </w:r>
      <w:r w:rsidRPr="008047DF">
        <w:rPr>
          <w:noProof/>
          <w:sz w:val="22"/>
        </w:rPr>
        <w:t xml:space="preserve"> 1786–1795. doi:10.1152/japplphysiol.01337.2009.</w:t>
      </w:r>
    </w:p>
    <w:p w14:paraId="0C1748C3" w14:textId="77777777" w:rsidR="00A42AD1" w:rsidRPr="008047DF" w:rsidRDefault="00A42AD1" w:rsidP="00A42AD1">
      <w:pPr>
        <w:pStyle w:val="NormalWeb"/>
        <w:spacing w:line="360" w:lineRule="auto"/>
        <w:ind w:left="480" w:hanging="480"/>
        <w:rPr>
          <w:noProof/>
          <w:sz w:val="22"/>
        </w:rPr>
      </w:pPr>
      <w:r w:rsidRPr="00727346">
        <w:rPr>
          <w:b/>
          <w:noProof/>
          <w:sz w:val="22"/>
        </w:rPr>
        <w:t>Dickinson, G. H., Ivanina, A. V, Matoo, O. B., Pörtner, H. O., Lannig, G., Bock, C.,</w:t>
      </w:r>
      <w:r>
        <w:rPr>
          <w:b/>
          <w:noProof/>
          <w:sz w:val="22"/>
        </w:rPr>
        <w:t xml:space="preserve"> Bock, C., Beniash, E., and</w:t>
      </w:r>
      <w:r w:rsidRPr="00727346">
        <w:rPr>
          <w:b/>
          <w:noProof/>
          <w:sz w:val="22"/>
        </w:rPr>
        <w:t xml:space="preserve"> Sokolova, I. M.</w:t>
      </w:r>
      <w:r w:rsidRPr="008047DF">
        <w:rPr>
          <w:noProof/>
          <w:sz w:val="22"/>
        </w:rPr>
        <w:t xml:space="preserve"> (2012). Interactive effects of salinity and elevated CO</w:t>
      </w:r>
      <w:r w:rsidRPr="0079158C">
        <w:rPr>
          <w:noProof/>
          <w:sz w:val="22"/>
          <w:vertAlign w:val="subscript"/>
        </w:rPr>
        <w:t>2</w:t>
      </w:r>
      <w:r w:rsidRPr="008047DF">
        <w:rPr>
          <w:noProof/>
          <w:sz w:val="22"/>
        </w:rPr>
        <w:t xml:space="preserve"> levels on juvenile eastern oysters, Crassostrea virginica. </w:t>
      </w:r>
      <w:r w:rsidRPr="008047DF">
        <w:rPr>
          <w:i/>
          <w:iCs/>
          <w:noProof/>
          <w:sz w:val="22"/>
        </w:rPr>
        <w:t>The Journal of experimental biology</w:t>
      </w:r>
      <w:r w:rsidRPr="008047DF">
        <w:rPr>
          <w:noProof/>
          <w:sz w:val="22"/>
        </w:rPr>
        <w:t xml:space="preserve">, </w:t>
      </w:r>
      <w:r w:rsidRPr="00727346">
        <w:rPr>
          <w:b/>
          <w:iCs/>
          <w:noProof/>
          <w:sz w:val="22"/>
        </w:rPr>
        <w:t>215</w:t>
      </w:r>
      <w:r w:rsidRPr="008047DF">
        <w:rPr>
          <w:noProof/>
          <w:sz w:val="22"/>
        </w:rPr>
        <w:t>(1), 29–43. doi:10.1242/jeb.061481</w:t>
      </w:r>
    </w:p>
    <w:p w14:paraId="744F0554" w14:textId="77777777" w:rsidR="00A42AD1" w:rsidRPr="008047DF" w:rsidRDefault="00A42AD1" w:rsidP="00A42AD1">
      <w:pPr>
        <w:pStyle w:val="NormalWeb"/>
        <w:spacing w:line="360" w:lineRule="auto"/>
        <w:ind w:left="480" w:hanging="480"/>
        <w:rPr>
          <w:noProof/>
          <w:sz w:val="22"/>
        </w:rPr>
      </w:pPr>
      <w:r w:rsidRPr="00727346">
        <w:rPr>
          <w:b/>
          <w:noProof/>
          <w:sz w:val="22"/>
        </w:rPr>
        <w:t>Dickinson, G. H., Matoo, O. B., T</w:t>
      </w:r>
      <w:r>
        <w:rPr>
          <w:b/>
          <w:noProof/>
          <w:sz w:val="22"/>
        </w:rPr>
        <w:t>ourek, R. T., Sokolova, I. M., and</w:t>
      </w:r>
      <w:r w:rsidRPr="00727346">
        <w:rPr>
          <w:b/>
          <w:noProof/>
          <w:sz w:val="22"/>
        </w:rPr>
        <w:t xml:space="preserve"> Beniash, E. </w:t>
      </w:r>
      <w:r w:rsidRPr="008047DF">
        <w:rPr>
          <w:noProof/>
          <w:sz w:val="22"/>
        </w:rPr>
        <w:t>(2013). Environmental salinity modulates the effects of elevated CO</w:t>
      </w:r>
      <w:r w:rsidRPr="0079158C">
        <w:rPr>
          <w:noProof/>
          <w:sz w:val="22"/>
          <w:vertAlign w:val="subscript"/>
        </w:rPr>
        <w:t>2</w:t>
      </w:r>
      <w:r w:rsidRPr="008047DF">
        <w:rPr>
          <w:noProof/>
          <w:sz w:val="22"/>
        </w:rPr>
        <w:t xml:space="preserve"> levels on juvenile hard-shell clams, Mercenaria mercenaria. </w:t>
      </w:r>
      <w:r w:rsidRPr="008047DF">
        <w:rPr>
          <w:i/>
          <w:iCs/>
          <w:noProof/>
          <w:sz w:val="22"/>
        </w:rPr>
        <w:t>The Journal of experimental biology</w:t>
      </w:r>
      <w:r w:rsidRPr="008047DF">
        <w:rPr>
          <w:noProof/>
          <w:sz w:val="22"/>
        </w:rPr>
        <w:t xml:space="preserve">, </w:t>
      </w:r>
      <w:r w:rsidRPr="00727346">
        <w:rPr>
          <w:b/>
          <w:iCs/>
          <w:noProof/>
          <w:sz w:val="22"/>
        </w:rPr>
        <w:t>216</w:t>
      </w:r>
      <w:r>
        <w:rPr>
          <w:noProof/>
          <w:sz w:val="22"/>
        </w:rPr>
        <w:t>(</w:t>
      </w:r>
      <w:r w:rsidRPr="008047DF">
        <w:rPr>
          <w:noProof/>
          <w:sz w:val="22"/>
        </w:rPr>
        <w:t>14), 2607–18. doi:10.1242/jeb.082909</w:t>
      </w:r>
    </w:p>
    <w:p w14:paraId="168C52F7" w14:textId="77777777" w:rsidR="00A42AD1" w:rsidRPr="008047DF" w:rsidRDefault="00A42AD1" w:rsidP="00A42AD1">
      <w:pPr>
        <w:pStyle w:val="NormalWeb"/>
        <w:spacing w:line="360" w:lineRule="auto"/>
        <w:ind w:left="480" w:hanging="480"/>
        <w:rPr>
          <w:noProof/>
          <w:sz w:val="22"/>
        </w:rPr>
      </w:pPr>
      <w:r>
        <w:rPr>
          <w:b/>
          <w:noProof/>
          <w:sz w:val="22"/>
        </w:rPr>
        <w:t>Dickson, A.G., Sabine, C.L., and</w:t>
      </w:r>
      <w:r w:rsidRPr="00727346">
        <w:rPr>
          <w:b/>
          <w:noProof/>
          <w:sz w:val="22"/>
        </w:rPr>
        <w:t xml:space="preserve"> Christian, J.R.</w:t>
      </w:r>
      <w:r w:rsidRPr="008047DF">
        <w:rPr>
          <w:noProof/>
          <w:sz w:val="22"/>
        </w:rPr>
        <w:t xml:space="preserve"> (Eds.) (2007). Guide to best practices for ocean CO</w:t>
      </w:r>
      <w:r w:rsidRPr="008047DF">
        <w:rPr>
          <w:noProof/>
          <w:sz w:val="22"/>
          <w:vertAlign w:val="subscript"/>
        </w:rPr>
        <w:t xml:space="preserve">2 </w:t>
      </w:r>
      <w:r w:rsidRPr="008047DF">
        <w:rPr>
          <w:noProof/>
          <w:sz w:val="22"/>
        </w:rPr>
        <w:t>measurements. PICES Special Publication 3, 191 pp.</w:t>
      </w:r>
    </w:p>
    <w:p w14:paraId="2057937E"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Duarte, C. M., Hendriks, I. E., Moore, T. S., Olsen, Y. S., Steckbauer, A., Ramajo, L., </w:t>
      </w:r>
      <w:r>
        <w:rPr>
          <w:b/>
          <w:noProof/>
          <w:sz w:val="22"/>
        </w:rPr>
        <w:t>Carstensen, J., Trotter, J.A., and</w:t>
      </w:r>
      <w:r w:rsidRPr="00727346">
        <w:rPr>
          <w:b/>
          <w:noProof/>
          <w:sz w:val="22"/>
        </w:rPr>
        <w:t xml:space="preserve"> McCulloch, M.</w:t>
      </w:r>
      <w:r w:rsidRPr="008047DF">
        <w:rPr>
          <w:noProof/>
          <w:sz w:val="22"/>
        </w:rPr>
        <w:t xml:space="preserve"> (2013). Is Ocean Acidification an Open-Ocean Syndrome? Understanding Anthropogenic Impacts on Seawater pH. </w:t>
      </w:r>
      <w:r w:rsidRPr="008047DF">
        <w:rPr>
          <w:i/>
          <w:iCs/>
          <w:noProof/>
          <w:sz w:val="22"/>
        </w:rPr>
        <w:t>Estuaries and Coasts</w:t>
      </w:r>
      <w:r w:rsidRPr="008047DF">
        <w:rPr>
          <w:noProof/>
          <w:sz w:val="22"/>
        </w:rPr>
        <w:t xml:space="preserve">, </w:t>
      </w:r>
      <w:r w:rsidRPr="00727346">
        <w:rPr>
          <w:b/>
          <w:iCs/>
          <w:noProof/>
          <w:sz w:val="22"/>
        </w:rPr>
        <w:t>36</w:t>
      </w:r>
      <w:r w:rsidRPr="008047DF">
        <w:rPr>
          <w:noProof/>
          <w:sz w:val="22"/>
        </w:rPr>
        <w:t>(2), 221–236. doi:10.1007/s12237-013-9594-3</w:t>
      </w:r>
    </w:p>
    <w:p w14:paraId="5AC2005E" w14:textId="77777777" w:rsidR="00A42AD1" w:rsidRPr="008047DF" w:rsidRDefault="00A42AD1" w:rsidP="00A42AD1">
      <w:pPr>
        <w:pStyle w:val="NormalWeb"/>
        <w:spacing w:line="360" w:lineRule="auto"/>
        <w:ind w:left="480" w:hanging="480"/>
        <w:rPr>
          <w:noProof/>
          <w:sz w:val="22"/>
        </w:rPr>
      </w:pPr>
      <w:r w:rsidRPr="00727346">
        <w:rPr>
          <w:b/>
          <w:noProof/>
          <w:sz w:val="22"/>
        </w:rPr>
        <w:t>Eng, J. K</w:t>
      </w:r>
      <w:r>
        <w:rPr>
          <w:b/>
          <w:noProof/>
          <w:sz w:val="22"/>
        </w:rPr>
        <w:t>., Fischer, B., Grossmann, J., and</w:t>
      </w:r>
      <w:r w:rsidRPr="00727346">
        <w:rPr>
          <w:b/>
          <w:noProof/>
          <w:sz w:val="22"/>
        </w:rPr>
        <w:t xml:space="preserve"> Maccoss, M. J.</w:t>
      </w:r>
      <w:r w:rsidRPr="008047DF">
        <w:rPr>
          <w:noProof/>
          <w:sz w:val="22"/>
        </w:rPr>
        <w:t xml:space="preserve"> (2008). A fast SEQUEST cross correlation algorithm. </w:t>
      </w:r>
      <w:r w:rsidRPr="008047DF">
        <w:rPr>
          <w:i/>
          <w:iCs/>
          <w:noProof/>
          <w:sz w:val="22"/>
        </w:rPr>
        <w:t>Journal of proteome research</w:t>
      </w:r>
      <w:r w:rsidRPr="008047DF">
        <w:rPr>
          <w:noProof/>
          <w:sz w:val="22"/>
        </w:rPr>
        <w:t xml:space="preserve">, </w:t>
      </w:r>
      <w:r w:rsidRPr="00727346">
        <w:rPr>
          <w:b/>
          <w:iCs/>
          <w:noProof/>
          <w:sz w:val="22"/>
        </w:rPr>
        <w:t>7</w:t>
      </w:r>
      <w:r w:rsidRPr="008047DF">
        <w:rPr>
          <w:noProof/>
          <w:sz w:val="22"/>
        </w:rPr>
        <w:t>(10), 4598–602. doi:10.1021/pr800420s</w:t>
      </w:r>
    </w:p>
    <w:p w14:paraId="5F950DCF" w14:textId="77777777" w:rsidR="00A42AD1" w:rsidRPr="008047DF" w:rsidRDefault="00A42AD1" w:rsidP="00A42AD1">
      <w:pPr>
        <w:pStyle w:val="NormalWeb"/>
        <w:spacing w:line="360" w:lineRule="auto"/>
        <w:ind w:left="480" w:hanging="480"/>
        <w:rPr>
          <w:noProof/>
          <w:sz w:val="22"/>
        </w:rPr>
      </w:pPr>
      <w:r>
        <w:rPr>
          <w:b/>
          <w:noProof/>
          <w:sz w:val="22"/>
        </w:rPr>
        <w:t>Eng, J. K., Mccormack, A. L., and</w:t>
      </w:r>
      <w:r w:rsidRPr="00727346">
        <w:rPr>
          <w:b/>
          <w:noProof/>
          <w:sz w:val="22"/>
        </w:rPr>
        <w:t xml:space="preserve"> Yates, J. R. </w:t>
      </w:r>
      <w:r w:rsidRPr="008047DF">
        <w:rPr>
          <w:noProof/>
          <w:sz w:val="22"/>
        </w:rPr>
        <w:t xml:space="preserve">(1994). An Approach to correlate tandem mass spectral data of peptides with amino acid sequences in a protein database. </w:t>
      </w:r>
      <w:r w:rsidRPr="008047DF">
        <w:rPr>
          <w:i/>
          <w:iCs/>
          <w:noProof/>
          <w:sz w:val="22"/>
        </w:rPr>
        <w:t>Journal of the American Society of Mass Spectrometry</w:t>
      </w:r>
      <w:r w:rsidRPr="008047DF">
        <w:rPr>
          <w:noProof/>
          <w:sz w:val="22"/>
        </w:rPr>
        <w:t xml:space="preserve">, </w:t>
      </w:r>
      <w:r w:rsidRPr="00727346">
        <w:rPr>
          <w:b/>
          <w:iCs/>
          <w:noProof/>
          <w:sz w:val="22"/>
        </w:rPr>
        <w:t>5</w:t>
      </w:r>
      <w:r w:rsidRPr="008047DF">
        <w:rPr>
          <w:noProof/>
          <w:sz w:val="22"/>
        </w:rPr>
        <w:t>, 976–989.</w:t>
      </w:r>
    </w:p>
    <w:p w14:paraId="743F9B1C" w14:textId="77777777" w:rsidR="00A42AD1" w:rsidRPr="008047DF" w:rsidRDefault="00A42AD1" w:rsidP="00A42AD1">
      <w:pPr>
        <w:pStyle w:val="normal0"/>
        <w:spacing w:line="360" w:lineRule="auto"/>
        <w:rPr>
          <w:rFonts w:ascii="Times" w:hAnsi="Times"/>
        </w:rPr>
      </w:pPr>
      <w:r w:rsidRPr="00727346">
        <w:rPr>
          <w:rFonts w:ascii="Times" w:hAnsi="Times"/>
          <w:b/>
        </w:rPr>
        <w:t>Fang, X., Li, L., Luo, R., Xu, F., Wang, X., Zhu, Y., Yang, L.,</w:t>
      </w:r>
      <w:r>
        <w:rPr>
          <w:rFonts w:ascii="Times" w:hAnsi="Times"/>
          <w:b/>
        </w:rPr>
        <w:t xml:space="preserve"> and</w:t>
      </w:r>
      <w:r w:rsidRPr="00727346">
        <w:rPr>
          <w:rFonts w:ascii="Times" w:hAnsi="Times"/>
          <w:b/>
        </w:rPr>
        <w:t xml:space="preserve"> Huang, Z.</w:t>
      </w:r>
      <w:r w:rsidRPr="008047DF">
        <w:rPr>
          <w:rFonts w:ascii="Times" w:hAnsi="Times"/>
        </w:rPr>
        <w:t xml:space="preserve"> (2012). Genomic data from the Pacific oyster (Crassostrea gigas). GigaScience. http://dx.doi.org/10.5524/100030</w:t>
      </w:r>
    </w:p>
    <w:p w14:paraId="472E6401" w14:textId="77777777" w:rsidR="00A42AD1" w:rsidRPr="008047DF" w:rsidRDefault="00A42AD1" w:rsidP="00A42AD1">
      <w:pPr>
        <w:pStyle w:val="NormalWeb"/>
        <w:spacing w:line="360" w:lineRule="auto"/>
        <w:ind w:left="480" w:hanging="480"/>
        <w:rPr>
          <w:noProof/>
          <w:sz w:val="22"/>
        </w:rPr>
      </w:pPr>
      <w:r>
        <w:rPr>
          <w:b/>
          <w:noProof/>
          <w:sz w:val="22"/>
        </w:rPr>
        <w:t>Feely, R.A</w:t>
      </w:r>
      <w:r w:rsidRPr="00727346">
        <w:rPr>
          <w:b/>
          <w:noProof/>
          <w:sz w:val="22"/>
        </w:rPr>
        <w:t>., Alin, S. R., Newton, J., Sabine, C. L., Warner, M., Devol, A</w:t>
      </w:r>
      <w:r>
        <w:rPr>
          <w:b/>
          <w:noProof/>
          <w:sz w:val="22"/>
        </w:rPr>
        <w:t>., Krembs, C., and</w:t>
      </w:r>
      <w:r w:rsidRPr="00727346">
        <w:rPr>
          <w:b/>
          <w:noProof/>
          <w:sz w:val="22"/>
        </w:rPr>
        <w:t xml:space="preserve"> Maloy, C. </w:t>
      </w:r>
      <w:r w:rsidRPr="008047DF">
        <w:rPr>
          <w:noProof/>
          <w:sz w:val="22"/>
        </w:rPr>
        <w:t xml:space="preserve">(2010). The combined effects of ocean acidification, mixing, and respiration on pH and carbonate saturation in an urbanized estuary. </w:t>
      </w:r>
      <w:r w:rsidRPr="008047DF">
        <w:rPr>
          <w:i/>
          <w:iCs/>
          <w:noProof/>
          <w:sz w:val="22"/>
        </w:rPr>
        <w:t>Estuarine, Coastal and Shelf Science</w:t>
      </w:r>
      <w:r w:rsidRPr="008047DF">
        <w:rPr>
          <w:noProof/>
          <w:sz w:val="22"/>
        </w:rPr>
        <w:t xml:space="preserve">, </w:t>
      </w:r>
      <w:r w:rsidRPr="00727346">
        <w:rPr>
          <w:b/>
          <w:iCs/>
          <w:noProof/>
          <w:sz w:val="22"/>
        </w:rPr>
        <w:t>88</w:t>
      </w:r>
      <w:r w:rsidRPr="008047DF">
        <w:rPr>
          <w:noProof/>
          <w:sz w:val="22"/>
        </w:rPr>
        <w:t>(4), 442–449. doi:10.1016/j.ecss.2010.05.004</w:t>
      </w:r>
    </w:p>
    <w:p w14:paraId="59BF4451" w14:textId="77777777" w:rsidR="00A42AD1" w:rsidRPr="008047DF" w:rsidRDefault="00A42AD1" w:rsidP="00A42AD1">
      <w:pPr>
        <w:pStyle w:val="NormalWeb"/>
        <w:spacing w:line="360" w:lineRule="auto"/>
        <w:ind w:left="480" w:hanging="480"/>
        <w:rPr>
          <w:noProof/>
          <w:sz w:val="22"/>
        </w:rPr>
      </w:pPr>
      <w:r>
        <w:rPr>
          <w:b/>
          <w:noProof/>
          <w:sz w:val="22"/>
        </w:rPr>
        <w:t>Feely, R.A</w:t>
      </w:r>
      <w:r w:rsidRPr="00727346">
        <w:rPr>
          <w:b/>
          <w:noProof/>
          <w:sz w:val="22"/>
        </w:rPr>
        <w:t>., Sabine, C. L., Byrne, R. H., Millero, F. J., Dickson, A. G., Wanninkhof</w:t>
      </w:r>
      <w:r>
        <w:rPr>
          <w:b/>
          <w:noProof/>
          <w:sz w:val="22"/>
        </w:rPr>
        <w:t>, R., Murata, A., Miler, L.A., and</w:t>
      </w:r>
      <w:r w:rsidRPr="00727346">
        <w:rPr>
          <w:b/>
          <w:noProof/>
          <w:sz w:val="22"/>
        </w:rPr>
        <w:t xml:space="preserve"> Greeley, D. </w:t>
      </w:r>
      <w:r w:rsidRPr="008047DF">
        <w:rPr>
          <w:noProof/>
          <w:sz w:val="22"/>
        </w:rPr>
        <w:t xml:space="preserve">(2012). Decadal changes in the aragonite and calcite saturation state of the Pacific Ocean. </w:t>
      </w:r>
      <w:r w:rsidRPr="008047DF">
        <w:rPr>
          <w:i/>
          <w:iCs/>
          <w:noProof/>
          <w:sz w:val="22"/>
        </w:rPr>
        <w:t>Global Biogeochemical Cycles</w:t>
      </w:r>
      <w:r w:rsidRPr="008047DF">
        <w:rPr>
          <w:noProof/>
          <w:sz w:val="22"/>
        </w:rPr>
        <w:t xml:space="preserve">, </w:t>
      </w:r>
      <w:r w:rsidRPr="00727346">
        <w:rPr>
          <w:b/>
          <w:iCs/>
          <w:noProof/>
          <w:sz w:val="22"/>
        </w:rPr>
        <w:t>26</w:t>
      </w:r>
      <w:r w:rsidRPr="008047DF">
        <w:rPr>
          <w:noProof/>
          <w:sz w:val="22"/>
        </w:rPr>
        <w:t xml:space="preserve">(3), </w:t>
      </w:r>
      <w:r>
        <w:rPr>
          <w:noProof/>
          <w:sz w:val="22"/>
        </w:rPr>
        <w:t>GB3001</w:t>
      </w:r>
      <w:r w:rsidRPr="008047DF">
        <w:rPr>
          <w:noProof/>
          <w:sz w:val="22"/>
        </w:rPr>
        <w:t>. doi:10.1029/2011GB004157</w:t>
      </w:r>
    </w:p>
    <w:p w14:paraId="19ACBBFB" w14:textId="77777777" w:rsidR="00A42AD1" w:rsidRPr="008047DF" w:rsidRDefault="00A42AD1" w:rsidP="00A42AD1">
      <w:pPr>
        <w:pStyle w:val="NormalWeb"/>
        <w:spacing w:line="360" w:lineRule="auto"/>
        <w:ind w:left="480" w:hanging="480"/>
        <w:rPr>
          <w:noProof/>
          <w:sz w:val="22"/>
        </w:rPr>
      </w:pPr>
      <w:r w:rsidRPr="00727346">
        <w:rPr>
          <w:b/>
          <w:noProof/>
          <w:sz w:val="22"/>
        </w:rPr>
        <w:t>Florens, L., Carozza, M. J., Swanson, S. K., Fournier, M., Coleman, M. K., Workman, J. L., &amp; Washburn, M. P.</w:t>
      </w:r>
      <w:r w:rsidRPr="008047DF">
        <w:rPr>
          <w:noProof/>
          <w:sz w:val="22"/>
        </w:rPr>
        <w:t xml:space="preserve"> (2006). Analyzing chromatin remodeling complexes using shotgun proteomics and normalized spectral abundance factors. </w:t>
      </w:r>
      <w:r w:rsidRPr="008047DF">
        <w:rPr>
          <w:i/>
          <w:iCs/>
          <w:noProof/>
          <w:sz w:val="22"/>
        </w:rPr>
        <w:t>Methods</w:t>
      </w:r>
      <w:r w:rsidRPr="008047DF">
        <w:rPr>
          <w:noProof/>
          <w:sz w:val="22"/>
        </w:rPr>
        <w:t xml:space="preserve">, </w:t>
      </w:r>
      <w:r w:rsidRPr="00727346">
        <w:rPr>
          <w:b/>
          <w:iCs/>
          <w:noProof/>
          <w:sz w:val="22"/>
        </w:rPr>
        <w:t>40</w:t>
      </w:r>
      <w:r w:rsidRPr="008047DF">
        <w:rPr>
          <w:noProof/>
          <w:sz w:val="22"/>
        </w:rPr>
        <w:t>(4), 303–11. doi:10.1016/j.ymeth.2006.07.028</w:t>
      </w:r>
    </w:p>
    <w:p w14:paraId="12B45CE2" w14:textId="77777777" w:rsidR="00A42AD1" w:rsidRPr="008047DF" w:rsidRDefault="00A42AD1" w:rsidP="00A42AD1">
      <w:pPr>
        <w:pStyle w:val="NormalWeb"/>
        <w:spacing w:line="360" w:lineRule="auto"/>
        <w:ind w:left="480" w:hanging="480"/>
        <w:rPr>
          <w:noProof/>
          <w:sz w:val="22"/>
        </w:rPr>
      </w:pPr>
      <w:r w:rsidRPr="00727346">
        <w:rPr>
          <w:b/>
          <w:noProof/>
          <w:sz w:val="22"/>
        </w:rPr>
        <w:t>Friedrich, T., Timmermann, A., Bates, N. R., Chikamoto, M. O., Church, M. J., Dore, J. E.,  Gledhill, D.K., González-Dávila, M., Heinemann, M., et al.</w:t>
      </w:r>
      <w:r>
        <w:rPr>
          <w:noProof/>
          <w:sz w:val="22"/>
        </w:rPr>
        <w:t xml:space="preserve"> </w:t>
      </w:r>
      <w:r w:rsidRPr="008047DF">
        <w:rPr>
          <w:noProof/>
          <w:sz w:val="22"/>
        </w:rPr>
        <w:t xml:space="preserve">(2012). Detecting regional anthropogenic trends in ocean acidification against natural variability, </w:t>
      </w:r>
      <w:r w:rsidRPr="00727346">
        <w:rPr>
          <w:b/>
          <w:iCs/>
          <w:noProof/>
          <w:sz w:val="22"/>
        </w:rPr>
        <w:t>2</w:t>
      </w:r>
      <w:r w:rsidRPr="008047DF">
        <w:rPr>
          <w:noProof/>
          <w:sz w:val="22"/>
        </w:rPr>
        <w:t>, 167–171. doi:10.1038/NCLIMATE1372</w:t>
      </w:r>
    </w:p>
    <w:p w14:paraId="2C5C15A1" w14:textId="77777777" w:rsidR="00A42AD1" w:rsidRPr="008047DF" w:rsidRDefault="00A42AD1" w:rsidP="00A42AD1">
      <w:pPr>
        <w:pStyle w:val="NormalWeb"/>
        <w:spacing w:line="360" w:lineRule="auto"/>
        <w:ind w:left="480" w:hanging="480"/>
        <w:rPr>
          <w:noProof/>
          <w:sz w:val="22"/>
        </w:rPr>
      </w:pPr>
      <w:r w:rsidRPr="00727346">
        <w:rPr>
          <w:b/>
          <w:noProof/>
          <w:sz w:val="22"/>
        </w:rPr>
        <w:t>Galloway, A. W. E., Britton-Simmons, K. H., Dugg</w:t>
      </w:r>
      <w:r>
        <w:rPr>
          <w:b/>
          <w:noProof/>
          <w:sz w:val="22"/>
        </w:rPr>
        <w:t>ins, D. O., Gabrielson, P. W., and</w:t>
      </w:r>
      <w:r w:rsidRPr="00727346">
        <w:rPr>
          <w:b/>
          <w:noProof/>
          <w:sz w:val="22"/>
        </w:rPr>
        <w:t xml:space="preserve"> Brett, M. T.</w:t>
      </w:r>
      <w:r w:rsidRPr="008047DF">
        <w:rPr>
          <w:noProof/>
          <w:sz w:val="22"/>
        </w:rPr>
        <w:t xml:space="preserve"> (2012). Fatty Acid Signatures Differentiate Marine Macrophytes At Ordinal and Family Ranks1. </w:t>
      </w:r>
      <w:r w:rsidRPr="008047DF">
        <w:rPr>
          <w:i/>
          <w:iCs/>
          <w:noProof/>
          <w:sz w:val="22"/>
        </w:rPr>
        <w:t>Journal of Phycology</w:t>
      </w:r>
      <w:r w:rsidRPr="008047DF">
        <w:rPr>
          <w:noProof/>
          <w:sz w:val="22"/>
        </w:rPr>
        <w:t xml:space="preserve">, </w:t>
      </w:r>
      <w:r w:rsidRPr="00727346">
        <w:rPr>
          <w:b/>
          <w:iCs/>
          <w:noProof/>
          <w:sz w:val="22"/>
        </w:rPr>
        <w:t>48</w:t>
      </w:r>
      <w:r w:rsidRPr="008047DF">
        <w:rPr>
          <w:noProof/>
          <w:sz w:val="22"/>
        </w:rPr>
        <w:t>(4), 956–965. doi:10.1111/j.1529-8817.2012.01173.x</w:t>
      </w:r>
    </w:p>
    <w:p w14:paraId="63B69EEC"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Gazeau, F., Gattuso, J.-P., Greaves, M., Elderfield, </w:t>
      </w:r>
      <w:r>
        <w:rPr>
          <w:b/>
          <w:noProof/>
          <w:sz w:val="22"/>
        </w:rPr>
        <w:t>H., Peene, J., Heip, C. H. R., and</w:t>
      </w:r>
      <w:r w:rsidRPr="00727346">
        <w:rPr>
          <w:b/>
          <w:noProof/>
          <w:sz w:val="22"/>
        </w:rPr>
        <w:t xml:space="preserve"> Middelburg, J. J. </w:t>
      </w:r>
      <w:r w:rsidRPr="008047DF">
        <w:rPr>
          <w:noProof/>
          <w:sz w:val="22"/>
        </w:rPr>
        <w:t xml:space="preserve">(2011). Effect of carbonate chemistry alteration on the early embryonic development of the Pacific oyster (Crassostrea gigas). </w:t>
      </w:r>
      <w:r w:rsidRPr="008047DF">
        <w:rPr>
          <w:i/>
          <w:iCs/>
          <w:noProof/>
          <w:sz w:val="22"/>
        </w:rPr>
        <w:t>PloS one</w:t>
      </w:r>
      <w:r w:rsidRPr="008047DF">
        <w:rPr>
          <w:noProof/>
          <w:sz w:val="22"/>
        </w:rPr>
        <w:t xml:space="preserve">, </w:t>
      </w:r>
      <w:r w:rsidRPr="00727346">
        <w:rPr>
          <w:b/>
          <w:iCs/>
          <w:noProof/>
          <w:sz w:val="22"/>
        </w:rPr>
        <w:t>6</w:t>
      </w:r>
      <w:r w:rsidRPr="008047DF">
        <w:rPr>
          <w:noProof/>
          <w:sz w:val="22"/>
        </w:rPr>
        <w:t>(8), e23010. doi:10.1371/journal.pone.0023010</w:t>
      </w:r>
    </w:p>
    <w:p w14:paraId="6FFBB0FA" w14:textId="77777777" w:rsidR="00A42AD1" w:rsidRPr="008047DF" w:rsidRDefault="00A42AD1" w:rsidP="00A42AD1">
      <w:pPr>
        <w:pStyle w:val="NormalWeb"/>
        <w:spacing w:line="360" w:lineRule="auto"/>
        <w:ind w:left="480" w:hanging="480"/>
        <w:rPr>
          <w:noProof/>
          <w:sz w:val="22"/>
        </w:rPr>
      </w:pPr>
      <w:r w:rsidRPr="00727346">
        <w:rPr>
          <w:b/>
          <w:noProof/>
          <w:sz w:val="22"/>
        </w:rPr>
        <w:t>Gazeau, F., Quiblier, C., Jansen, J. M., Gatt</w:t>
      </w:r>
      <w:r>
        <w:rPr>
          <w:b/>
          <w:noProof/>
          <w:sz w:val="22"/>
        </w:rPr>
        <w:t>uso, J.-P., Middelburg, J. J., and</w:t>
      </w:r>
      <w:r w:rsidRPr="00727346">
        <w:rPr>
          <w:b/>
          <w:noProof/>
          <w:sz w:val="22"/>
        </w:rPr>
        <w:t xml:space="preserve"> Heip, C. H. R.</w:t>
      </w:r>
      <w:r>
        <w:rPr>
          <w:noProof/>
          <w:sz w:val="22"/>
        </w:rPr>
        <w:t xml:space="preserve"> (2007). Impact of elevated CO</w:t>
      </w:r>
      <w:r w:rsidRPr="0079158C">
        <w:rPr>
          <w:noProof/>
          <w:sz w:val="22"/>
          <w:vertAlign w:val="subscript"/>
        </w:rPr>
        <w:t>2</w:t>
      </w:r>
      <w:r w:rsidRPr="008047DF">
        <w:rPr>
          <w:noProof/>
          <w:sz w:val="22"/>
        </w:rPr>
        <w:t xml:space="preserve"> on shellfish calcification. </w:t>
      </w:r>
      <w:r w:rsidRPr="008047DF">
        <w:rPr>
          <w:i/>
          <w:iCs/>
          <w:noProof/>
          <w:sz w:val="22"/>
        </w:rPr>
        <w:t>Geophysical Research Letters</w:t>
      </w:r>
      <w:r w:rsidRPr="008047DF">
        <w:rPr>
          <w:noProof/>
          <w:sz w:val="22"/>
        </w:rPr>
        <w:t xml:space="preserve">, </w:t>
      </w:r>
      <w:r w:rsidRPr="00727346">
        <w:rPr>
          <w:b/>
          <w:iCs/>
          <w:noProof/>
          <w:sz w:val="22"/>
        </w:rPr>
        <w:t>34</w:t>
      </w:r>
      <w:r>
        <w:rPr>
          <w:noProof/>
          <w:sz w:val="22"/>
        </w:rPr>
        <w:t>(7), L07603</w:t>
      </w:r>
      <w:r w:rsidRPr="008047DF">
        <w:rPr>
          <w:noProof/>
          <w:sz w:val="22"/>
        </w:rPr>
        <w:t>. doi:10.1029/2006GL028554</w:t>
      </w:r>
    </w:p>
    <w:p w14:paraId="25C16095" w14:textId="77777777" w:rsidR="00A42AD1" w:rsidRPr="008047DF" w:rsidRDefault="00A42AD1" w:rsidP="00A42AD1">
      <w:pPr>
        <w:pStyle w:val="NormalWeb"/>
        <w:spacing w:line="360" w:lineRule="auto"/>
        <w:ind w:left="480" w:hanging="480"/>
        <w:rPr>
          <w:noProof/>
          <w:sz w:val="22"/>
        </w:rPr>
      </w:pPr>
      <w:r w:rsidRPr="00727346">
        <w:rPr>
          <w:b/>
          <w:noProof/>
          <w:sz w:val="22"/>
        </w:rPr>
        <w:t>Gruber, N., Hauri, C., Lachkar, Z.</w:t>
      </w:r>
      <w:r>
        <w:rPr>
          <w:b/>
          <w:noProof/>
          <w:sz w:val="22"/>
        </w:rPr>
        <w:t>, Loher, D., Frölicher, T. L., and</w:t>
      </w:r>
      <w:r w:rsidRPr="00727346">
        <w:rPr>
          <w:b/>
          <w:noProof/>
          <w:sz w:val="22"/>
        </w:rPr>
        <w:t xml:space="preserve"> Plattner, G.-K.</w:t>
      </w:r>
      <w:r w:rsidRPr="008047DF">
        <w:rPr>
          <w:noProof/>
          <w:sz w:val="22"/>
        </w:rPr>
        <w:t xml:space="preserve"> (2012). Rapid progression of ocean acidification in the California Current System. </w:t>
      </w:r>
      <w:r>
        <w:rPr>
          <w:i/>
          <w:iCs/>
          <w:noProof/>
          <w:sz w:val="22"/>
        </w:rPr>
        <w:t>Science</w:t>
      </w:r>
      <w:r w:rsidRPr="008047DF">
        <w:rPr>
          <w:noProof/>
          <w:sz w:val="22"/>
        </w:rPr>
        <w:t xml:space="preserve">, </w:t>
      </w:r>
      <w:r w:rsidRPr="00727346">
        <w:rPr>
          <w:b/>
          <w:iCs/>
          <w:noProof/>
          <w:sz w:val="22"/>
        </w:rPr>
        <w:t>337</w:t>
      </w:r>
      <w:r w:rsidRPr="008047DF">
        <w:rPr>
          <w:noProof/>
          <w:sz w:val="22"/>
        </w:rPr>
        <w:t>(6091), 220–3. doi:10.1126/science.1216773</w:t>
      </w:r>
    </w:p>
    <w:p w14:paraId="06A2EE0D" w14:textId="77777777" w:rsidR="00A42AD1" w:rsidRPr="008047DF" w:rsidRDefault="00A42AD1" w:rsidP="00A42AD1">
      <w:pPr>
        <w:pStyle w:val="NormalWeb"/>
        <w:spacing w:line="360" w:lineRule="auto"/>
        <w:ind w:left="480" w:hanging="480"/>
        <w:rPr>
          <w:noProof/>
          <w:sz w:val="22"/>
        </w:rPr>
      </w:pPr>
      <w:r>
        <w:rPr>
          <w:b/>
          <w:noProof/>
          <w:sz w:val="22"/>
        </w:rPr>
        <w:t xml:space="preserve">Hoffmann, W. A.,  and Poorter, H. </w:t>
      </w:r>
      <w:r w:rsidRPr="008047DF">
        <w:rPr>
          <w:noProof/>
          <w:sz w:val="22"/>
        </w:rPr>
        <w:t xml:space="preserve">(2002). Avoiding Bias in Calculations of Relative Growth Rate. </w:t>
      </w:r>
      <w:r w:rsidRPr="008047DF">
        <w:rPr>
          <w:i/>
          <w:iCs/>
          <w:noProof/>
          <w:sz w:val="22"/>
        </w:rPr>
        <w:t>Annals of Botany</w:t>
      </w:r>
      <w:r w:rsidRPr="008047DF">
        <w:rPr>
          <w:noProof/>
          <w:sz w:val="22"/>
        </w:rPr>
        <w:t xml:space="preserve">, </w:t>
      </w:r>
      <w:r w:rsidRPr="00727346">
        <w:rPr>
          <w:b/>
          <w:iCs/>
          <w:noProof/>
          <w:sz w:val="22"/>
        </w:rPr>
        <w:t>90</w:t>
      </w:r>
      <w:r w:rsidRPr="008047DF">
        <w:rPr>
          <w:noProof/>
          <w:sz w:val="22"/>
        </w:rPr>
        <w:t>(1), 37–42. doi:10.1093/aob/mcf140</w:t>
      </w:r>
    </w:p>
    <w:p w14:paraId="33932BDC" w14:textId="77777777" w:rsidR="00A42AD1" w:rsidRPr="008047DF" w:rsidRDefault="00A42AD1" w:rsidP="00A42AD1">
      <w:pPr>
        <w:pStyle w:val="NormalWeb"/>
        <w:spacing w:line="360" w:lineRule="auto"/>
        <w:ind w:left="480" w:hanging="480"/>
        <w:rPr>
          <w:noProof/>
          <w:sz w:val="22"/>
          <w:szCs w:val="22"/>
        </w:rPr>
      </w:pPr>
      <w:r w:rsidRPr="00727346">
        <w:rPr>
          <w:rFonts w:eastAsia="Times New Roman"/>
          <w:b/>
          <w:iCs/>
          <w:sz w:val="22"/>
          <w:szCs w:val="22"/>
        </w:rPr>
        <w:t xml:space="preserve">Howe, B., Cole, G., Souroush, E., Koutris, </w:t>
      </w:r>
      <w:r>
        <w:rPr>
          <w:rFonts w:eastAsia="Times New Roman"/>
          <w:b/>
          <w:iCs/>
          <w:sz w:val="22"/>
          <w:szCs w:val="22"/>
        </w:rPr>
        <w:t>P., Key, A., Khoussainova, N., and</w:t>
      </w:r>
      <w:r w:rsidRPr="00727346">
        <w:rPr>
          <w:rFonts w:eastAsia="Times New Roman"/>
          <w:b/>
          <w:iCs/>
          <w:sz w:val="22"/>
          <w:szCs w:val="22"/>
        </w:rPr>
        <w:t xml:space="preserve"> Battle, L.</w:t>
      </w:r>
      <w:r w:rsidRPr="008047DF">
        <w:rPr>
          <w:rFonts w:eastAsia="Times New Roman"/>
          <w:iCs/>
          <w:sz w:val="22"/>
          <w:szCs w:val="22"/>
        </w:rPr>
        <w:t xml:space="preserve"> (2011). Database-as-a-service for long-tail science. In </w:t>
      </w:r>
      <w:r w:rsidRPr="00727346">
        <w:rPr>
          <w:rFonts w:eastAsia="Times New Roman"/>
          <w:i/>
          <w:iCs/>
          <w:sz w:val="22"/>
          <w:szCs w:val="22"/>
        </w:rPr>
        <w:t>Proceedings of the 23rd international conference on Scientific and statistical database management (SSDBM'11), Judith Bayard Cushing, James French, and Shawn Bowers</w:t>
      </w:r>
      <w:r>
        <w:rPr>
          <w:rFonts w:eastAsia="Times New Roman"/>
          <w:iCs/>
          <w:sz w:val="22"/>
          <w:szCs w:val="22"/>
        </w:rPr>
        <w:t xml:space="preserve"> (ed.</w:t>
      </w:r>
      <w:r w:rsidRPr="008047DF">
        <w:rPr>
          <w:rFonts w:eastAsia="Times New Roman"/>
          <w:iCs/>
          <w:sz w:val="22"/>
          <w:szCs w:val="22"/>
        </w:rPr>
        <w:t xml:space="preserve"> Springer-Verlag, Berlin</w:t>
      </w:r>
      <w:r>
        <w:rPr>
          <w:rFonts w:eastAsia="Times New Roman"/>
          <w:iCs/>
          <w:sz w:val="22"/>
          <w:szCs w:val="22"/>
        </w:rPr>
        <w:t>)</w:t>
      </w:r>
      <w:r w:rsidRPr="008047DF">
        <w:rPr>
          <w:rFonts w:eastAsia="Times New Roman"/>
          <w:iCs/>
          <w:sz w:val="22"/>
          <w:szCs w:val="22"/>
        </w:rPr>
        <w:t>,</w:t>
      </w:r>
      <w:r>
        <w:rPr>
          <w:rFonts w:eastAsia="Times New Roman"/>
          <w:iCs/>
          <w:sz w:val="22"/>
          <w:szCs w:val="22"/>
        </w:rPr>
        <w:t xml:space="preserve"> pp. 480-489. Heidelberg: Springer-Verlag.</w:t>
      </w:r>
    </w:p>
    <w:p w14:paraId="3006672C"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(2009a). Systematic and integrative analysis of large gene lists using DAVID bioinformatics resources. </w:t>
      </w:r>
      <w:r w:rsidRPr="008047DF">
        <w:rPr>
          <w:i/>
          <w:iCs/>
          <w:noProof/>
          <w:sz w:val="22"/>
        </w:rPr>
        <w:t>Nature protocols</w:t>
      </w:r>
      <w:r w:rsidRPr="008047DF">
        <w:rPr>
          <w:noProof/>
          <w:sz w:val="22"/>
        </w:rPr>
        <w:t xml:space="preserve">, </w:t>
      </w:r>
      <w:r w:rsidRPr="00727346">
        <w:rPr>
          <w:b/>
          <w:iCs/>
          <w:noProof/>
          <w:sz w:val="22"/>
        </w:rPr>
        <w:t>4</w:t>
      </w:r>
      <w:r w:rsidRPr="008047DF">
        <w:rPr>
          <w:noProof/>
          <w:sz w:val="22"/>
        </w:rPr>
        <w:t>(1), 44–57. doi:10.1038/nprot.2008.211</w:t>
      </w:r>
    </w:p>
    <w:p w14:paraId="00B0CB12" w14:textId="77777777" w:rsidR="00A42AD1" w:rsidRPr="008047DF" w:rsidRDefault="00A42AD1" w:rsidP="00A42AD1">
      <w:pPr>
        <w:pStyle w:val="NormalWeb"/>
        <w:spacing w:line="360" w:lineRule="auto"/>
        <w:ind w:left="480" w:hanging="48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(2009b). Bioinformatics enrichment tools: paths toward the comprehensive functional analysis of large gene lists. </w:t>
      </w:r>
      <w:r w:rsidRPr="008047DF">
        <w:rPr>
          <w:i/>
          <w:iCs/>
          <w:noProof/>
          <w:sz w:val="22"/>
        </w:rPr>
        <w:t>Nucleic acids research</w:t>
      </w:r>
      <w:r w:rsidRPr="008047DF">
        <w:rPr>
          <w:noProof/>
          <w:sz w:val="22"/>
        </w:rPr>
        <w:t xml:space="preserve">, </w:t>
      </w:r>
      <w:r w:rsidRPr="00727346">
        <w:rPr>
          <w:b/>
          <w:iCs/>
          <w:noProof/>
          <w:sz w:val="22"/>
        </w:rPr>
        <w:t>37</w:t>
      </w:r>
      <w:r w:rsidRPr="008047DF">
        <w:rPr>
          <w:noProof/>
          <w:sz w:val="22"/>
        </w:rPr>
        <w:t>(1), 1–13. doi:10.1093/nar/gkn923</w:t>
      </w:r>
    </w:p>
    <w:p w14:paraId="196B1AFA" w14:textId="77777777" w:rsidR="00A42AD1" w:rsidRPr="008047DF" w:rsidRDefault="00A42AD1" w:rsidP="00A42AD1">
      <w:pPr>
        <w:pStyle w:val="NormalWeb"/>
        <w:spacing w:line="360" w:lineRule="auto"/>
        <w:ind w:left="480" w:hanging="480"/>
        <w:rPr>
          <w:noProof/>
          <w:sz w:val="22"/>
        </w:rPr>
      </w:pPr>
      <w:r w:rsidRPr="00727346">
        <w:rPr>
          <w:b/>
          <w:noProof/>
          <w:sz w:val="22"/>
        </w:rPr>
        <w:t>Ivanina, A. V, Dickinson, G. H., Matoo, O. B., Bagwe, R</w:t>
      </w:r>
      <w:r>
        <w:rPr>
          <w:b/>
          <w:noProof/>
          <w:sz w:val="22"/>
        </w:rPr>
        <w:t>., Dickinson, A., Beniash, E., and</w:t>
      </w:r>
      <w:r w:rsidRPr="00727346">
        <w:rPr>
          <w:b/>
          <w:noProof/>
          <w:sz w:val="22"/>
        </w:rPr>
        <w:t xml:space="preserve"> Sokolova, I. M. </w:t>
      </w:r>
      <w:r w:rsidRPr="008047DF">
        <w:rPr>
          <w:noProof/>
          <w:sz w:val="22"/>
        </w:rPr>
        <w:t>(2013). Interactive effects of elevated temperature and CO</w:t>
      </w:r>
      <w:r w:rsidRPr="0079158C">
        <w:rPr>
          <w:noProof/>
          <w:sz w:val="22"/>
          <w:vertAlign w:val="subscript"/>
        </w:rPr>
        <w:t>2</w:t>
      </w:r>
      <w:r w:rsidRPr="008047DF">
        <w:rPr>
          <w:noProof/>
          <w:sz w:val="22"/>
        </w:rPr>
        <w:t xml:space="preserve"> levels on energy metabolism and biomineralization of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727346">
        <w:rPr>
          <w:b/>
          <w:iCs/>
          <w:noProof/>
          <w:sz w:val="22"/>
        </w:rPr>
        <w:t>166</w:t>
      </w:r>
      <w:r w:rsidRPr="008047DF">
        <w:rPr>
          <w:noProof/>
          <w:sz w:val="22"/>
        </w:rPr>
        <w:t>(1), 101–11. doi:10.1016/j.cbpa.2013.05.016</w:t>
      </w:r>
    </w:p>
    <w:p w14:paraId="3CF6AD75" w14:textId="77777777" w:rsidR="00A42AD1" w:rsidRPr="008047DF" w:rsidRDefault="00A42AD1" w:rsidP="00A42AD1">
      <w:pPr>
        <w:pStyle w:val="NormalWeb"/>
        <w:spacing w:line="360" w:lineRule="auto"/>
        <w:ind w:left="480" w:hanging="480"/>
        <w:rPr>
          <w:noProof/>
          <w:sz w:val="22"/>
        </w:rPr>
      </w:pPr>
      <w:r w:rsidRPr="00727346">
        <w:rPr>
          <w:b/>
          <w:noProof/>
          <w:sz w:val="22"/>
        </w:rPr>
        <w:t>Kaniewska, P., Campbell, P. R., Kline, D. I., Rodriguez-Lanetty, M., Miller, D. J., Dove</w:t>
      </w:r>
      <w:r>
        <w:rPr>
          <w:b/>
          <w:noProof/>
          <w:sz w:val="22"/>
        </w:rPr>
        <w:t>, S., and</w:t>
      </w:r>
      <w:r w:rsidRPr="00727346">
        <w:rPr>
          <w:b/>
          <w:noProof/>
          <w:sz w:val="22"/>
        </w:rPr>
        <w:t xml:space="preserve"> Hoegh-Guldberg, O. </w:t>
      </w:r>
      <w:r w:rsidRPr="008047DF">
        <w:rPr>
          <w:noProof/>
          <w:sz w:val="22"/>
        </w:rPr>
        <w:t xml:space="preserve">(2012). Major cellular and physiological impacts of ocean acidification on a reef building coral. </w:t>
      </w:r>
      <w:r w:rsidRPr="008047DF">
        <w:rPr>
          <w:i/>
          <w:iCs/>
          <w:noProof/>
          <w:sz w:val="22"/>
        </w:rPr>
        <w:t>PloS one</w:t>
      </w:r>
      <w:r w:rsidRPr="008047DF">
        <w:rPr>
          <w:noProof/>
          <w:sz w:val="22"/>
        </w:rPr>
        <w:t xml:space="preserve">, </w:t>
      </w:r>
      <w:r w:rsidRPr="00727346">
        <w:rPr>
          <w:b/>
          <w:iCs/>
          <w:noProof/>
          <w:sz w:val="22"/>
        </w:rPr>
        <w:t>7</w:t>
      </w:r>
      <w:r w:rsidRPr="008047DF">
        <w:rPr>
          <w:noProof/>
          <w:sz w:val="22"/>
        </w:rPr>
        <w:t>(4), e34659. doi:10.1371/journal.pone.0034659</w:t>
      </w:r>
    </w:p>
    <w:p w14:paraId="5E692F2A" w14:textId="77777777" w:rsidR="00A42AD1" w:rsidRPr="008047DF" w:rsidRDefault="00A42AD1" w:rsidP="00A42AD1">
      <w:pPr>
        <w:pStyle w:val="NormalWeb"/>
        <w:spacing w:line="360" w:lineRule="auto"/>
        <w:ind w:left="480" w:hanging="480"/>
        <w:rPr>
          <w:noProof/>
          <w:sz w:val="22"/>
        </w:rPr>
      </w:pPr>
      <w:r w:rsidRPr="00221ABE">
        <w:rPr>
          <w:b/>
          <w:noProof/>
          <w:sz w:val="22"/>
        </w:rPr>
        <w:t>Kelly,</w:t>
      </w:r>
      <w:r>
        <w:rPr>
          <w:b/>
          <w:noProof/>
          <w:sz w:val="22"/>
        </w:rPr>
        <w:t xml:space="preserve"> M. W., Padilla-Gamiño, J. L., and</w:t>
      </w:r>
      <w:r w:rsidRPr="00221ABE">
        <w:rPr>
          <w:b/>
          <w:noProof/>
          <w:sz w:val="22"/>
        </w:rPr>
        <w:t xml:space="preserve"> Hofmann, G. E.</w:t>
      </w:r>
      <w:r w:rsidRPr="008047DF">
        <w:rPr>
          <w:noProof/>
          <w:sz w:val="22"/>
        </w:rPr>
        <w:t xml:space="preserve"> (2013). Natural variation and the capacity to adapt to ocean acidification in the keystone sea urchin Strongylocentrotus purpuratus. </w:t>
      </w:r>
      <w:r w:rsidRPr="008047DF">
        <w:rPr>
          <w:i/>
          <w:iCs/>
          <w:noProof/>
          <w:sz w:val="22"/>
        </w:rPr>
        <w:t>Global change biology</w:t>
      </w:r>
      <w:r w:rsidRPr="008047DF">
        <w:rPr>
          <w:noProof/>
          <w:sz w:val="22"/>
        </w:rPr>
        <w:t xml:space="preserve">, </w:t>
      </w:r>
      <w:r w:rsidRPr="00221ABE">
        <w:rPr>
          <w:b/>
          <w:iCs/>
          <w:noProof/>
          <w:sz w:val="22"/>
        </w:rPr>
        <w:t>19</w:t>
      </w:r>
      <w:r w:rsidRPr="008047DF">
        <w:rPr>
          <w:noProof/>
          <w:sz w:val="22"/>
        </w:rPr>
        <w:t>(8), 2536–46. doi:10.1111/gcb.12251</w:t>
      </w:r>
    </w:p>
    <w:p w14:paraId="044355B3" w14:textId="77777777" w:rsidR="00A42AD1" w:rsidRPr="008047DF" w:rsidRDefault="00A42AD1" w:rsidP="00A42AD1">
      <w:pPr>
        <w:pStyle w:val="NormalWeb"/>
        <w:spacing w:line="360" w:lineRule="auto"/>
        <w:ind w:left="480" w:hanging="480"/>
        <w:rPr>
          <w:noProof/>
          <w:sz w:val="22"/>
        </w:rPr>
      </w:pPr>
      <w:r w:rsidRPr="00221ABE">
        <w:rPr>
          <w:b/>
          <w:noProof/>
          <w:sz w:val="22"/>
        </w:rPr>
        <w:t>Kroeker, K. J</w:t>
      </w:r>
      <w:r>
        <w:rPr>
          <w:b/>
          <w:noProof/>
          <w:sz w:val="22"/>
        </w:rPr>
        <w:t>., Kordas, R. L., Crim, R. N., and</w:t>
      </w:r>
      <w:r w:rsidRPr="00221ABE">
        <w:rPr>
          <w:b/>
          <w:noProof/>
          <w:sz w:val="22"/>
        </w:rPr>
        <w:t xml:space="preserve"> Singh, G. G.</w:t>
      </w:r>
      <w:r w:rsidRPr="008047DF">
        <w:rPr>
          <w:noProof/>
          <w:sz w:val="22"/>
        </w:rPr>
        <w:t xml:space="preserve"> (2010). Meta-analysis reveals negative yet variable effects of ocean acidification on marine organisms. </w:t>
      </w:r>
      <w:r w:rsidRPr="008047DF">
        <w:rPr>
          <w:i/>
          <w:iCs/>
          <w:noProof/>
          <w:sz w:val="22"/>
        </w:rPr>
        <w:t>Ecology letters</w:t>
      </w:r>
      <w:r w:rsidRPr="008047DF">
        <w:rPr>
          <w:noProof/>
          <w:sz w:val="22"/>
        </w:rPr>
        <w:t xml:space="preserve">, </w:t>
      </w:r>
      <w:r w:rsidRPr="00221ABE">
        <w:rPr>
          <w:b/>
          <w:iCs/>
          <w:noProof/>
          <w:sz w:val="22"/>
        </w:rPr>
        <w:t>13</w:t>
      </w:r>
      <w:r w:rsidRPr="008047DF">
        <w:rPr>
          <w:noProof/>
          <w:sz w:val="22"/>
        </w:rPr>
        <w:t>(11), 1419–34. doi:10.1111/j.1461-0248.2010.01518.x</w:t>
      </w:r>
    </w:p>
    <w:p w14:paraId="263B55AC" w14:textId="77777777" w:rsidR="00A42AD1" w:rsidRPr="008047DF" w:rsidRDefault="00A42AD1" w:rsidP="00A42AD1">
      <w:pPr>
        <w:pStyle w:val="NormalWeb"/>
        <w:spacing w:line="360" w:lineRule="auto"/>
        <w:ind w:left="480" w:hanging="480"/>
        <w:rPr>
          <w:noProof/>
          <w:sz w:val="22"/>
        </w:rPr>
      </w:pPr>
      <w:r w:rsidRPr="00221ABE">
        <w:rPr>
          <w:b/>
          <w:noProof/>
          <w:sz w:val="22"/>
        </w:rPr>
        <w:t>Kuriha</w:t>
      </w:r>
      <w:r>
        <w:rPr>
          <w:b/>
          <w:noProof/>
          <w:sz w:val="22"/>
        </w:rPr>
        <w:t>ra, H., Kato, S., and Ishimatsu, A</w:t>
      </w:r>
      <w:r w:rsidRPr="00221ABE">
        <w:rPr>
          <w:b/>
          <w:noProof/>
          <w:sz w:val="22"/>
        </w:rPr>
        <w:t>.</w:t>
      </w:r>
      <w:r w:rsidRPr="008047DF">
        <w:rPr>
          <w:noProof/>
          <w:sz w:val="22"/>
        </w:rPr>
        <w:t xml:space="preserve"> (2007). Effects of increased seawater pCO</w:t>
      </w:r>
      <w:r w:rsidRPr="0079158C">
        <w:rPr>
          <w:noProof/>
          <w:sz w:val="22"/>
          <w:vertAlign w:val="subscript"/>
        </w:rPr>
        <w:t>2</w:t>
      </w:r>
      <w:r w:rsidRPr="008047DF">
        <w:rPr>
          <w:noProof/>
          <w:sz w:val="22"/>
        </w:rPr>
        <w:t xml:space="preserve"> on early development of the oyster Crassostrea gigas. </w:t>
      </w:r>
      <w:r w:rsidRPr="008047DF">
        <w:rPr>
          <w:i/>
          <w:iCs/>
          <w:noProof/>
          <w:sz w:val="22"/>
        </w:rPr>
        <w:t>Aquatic Biology</w:t>
      </w:r>
      <w:r w:rsidRPr="008047DF">
        <w:rPr>
          <w:noProof/>
          <w:sz w:val="22"/>
        </w:rPr>
        <w:t xml:space="preserve">, </w:t>
      </w:r>
      <w:r w:rsidRPr="00221ABE">
        <w:rPr>
          <w:b/>
          <w:iCs/>
          <w:noProof/>
          <w:sz w:val="22"/>
        </w:rPr>
        <w:t>1</w:t>
      </w:r>
      <w:r w:rsidRPr="008047DF">
        <w:rPr>
          <w:noProof/>
          <w:sz w:val="22"/>
        </w:rPr>
        <w:t>(1), 91–98. doi:10.3354/ab00009</w:t>
      </w:r>
    </w:p>
    <w:p w14:paraId="4D527050"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Lacoste, A., Malham, S. K., Cueff, A., Jalabert, </w:t>
      </w:r>
      <w:r>
        <w:rPr>
          <w:b/>
          <w:noProof/>
          <w:sz w:val="22"/>
        </w:rPr>
        <w:t>F., Gélébart, F., and Poulet, S.A</w:t>
      </w:r>
      <w:r w:rsidRPr="00221ABE">
        <w:rPr>
          <w:b/>
          <w:noProof/>
          <w:sz w:val="22"/>
        </w:rPr>
        <w:t xml:space="preserve">. </w:t>
      </w:r>
      <w:r w:rsidRPr="008047DF">
        <w:rPr>
          <w:noProof/>
          <w:sz w:val="22"/>
        </w:rPr>
        <w:t xml:space="preserve">(2001). Evidence for a form of adrenergic response to stress in the mollusc Crassostrea gigas. </w:t>
      </w:r>
      <w:r w:rsidRPr="008047DF">
        <w:rPr>
          <w:i/>
          <w:iCs/>
          <w:noProof/>
          <w:sz w:val="22"/>
        </w:rPr>
        <w:t>The Journal of experimental biology</w:t>
      </w:r>
      <w:r w:rsidRPr="008047DF">
        <w:rPr>
          <w:noProof/>
          <w:sz w:val="22"/>
        </w:rPr>
        <w:t xml:space="preserve">, </w:t>
      </w:r>
      <w:r w:rsidRPr="00221ABE">
        <w:rPr>
          <w:b/>
          <w:iCs/>
          <w:noProof/>
          <w:sz w:val="22"/>
        </w:rPr>
        <w:t>204</w:t>
      </w:r>
      <w:r>
        <w:rPr>
          <w:noProof/>
          <w:sz w:val="22"/>
        </w:rPr>
        <w:t>(</w:t>
      </w:r>
      <w:r w:rsidRPr="008047DF">
        <w:rPr>
          <w:noProof/>
          <w:sz w:val="22"/>
        </w:rPr>
        <w:t xml:space="preserve">7), 1247–55. </w:t>
      </w:r>
    </w:p>
    <w:p w14:paraId="6EAB9C2E" w14:textId="77777777" w:rsidR="00A42AD1" w:rsidRPr="008047DF" w:rsidRDefault="00A42AD1" w:rsidP="00A42AD1">
      <w:pPr>
        <w:pStyle w:val="NormalWeb"/>
        <w:spacing w:line="360" w:lineRule="auto"/>
        <w:ind w:left="480" w:hanging="480"/>
        <w:rPr>
          <w:noProof/>
          <w:sz w:val="22"/>
        </w:rPr>
      </w:pPr>
      <w:r w:rsidRPr="00221ABE">
        <w:rPr>
          <w:b/>
          <w:noProof/>
          <w:sz w:val="22"/>
        </w:rPr>
        <w:t>Lacoste, A., Malham,</w:t>
      </w:r>
      <w:r>
        <w:rPr>
          <w:b/>
          <w:noProof/>
          <w:sz w:val="22"/>
        </w:rPr>
        <w:t xml:space="preserve"> S. K., Cueff, A., and Poulet, S.A</w:t>
      </w:r>
      <w:r w:rsidRPr="00221ABE">
        <w:rPr>
          <w:b/>
          <w:noProof/>
          <w:sz w:val="22"/>
        </w:rPr>
        <w:t>.</w:t>
      </w:r>
      <w:r w:rsidRPr="008047DF">
        <w:rPr>
          <w:noProof/>
          <w:sz w:val="22"/>
        </w:rPr>
        <w:t xml:space="preserve"> (2001). Stress-induced catecholamine changes in the hemolymph of the oyster Crassostrea gigas. </w:t>
      </w:r>
      <w:r w:rsidRPr="008047DF">
        <w:rPr>
          <w:i/>
          <w:iCs/>
          <w:noProof/>
          <w:sz w:val="22"/>
        </w:rPr>
        <w:t>General and comparative endocrinology</w:t>
      </w:r>
      <w:r w:rsidRPr="008047DF">
        <w:rPr>
          <w:noProof/>
          <w:sz w:val="22"/>
        </w:rPr>
        <w:t xml:space="preserve">, </w:t>
      </w:r>
      <w:r w:rsidRPr="00221ABE">
        <w:rPr>
          <w:b/>
          <w:iCs/>
          <w:noProof/>
          <w:sz w:val="22"/>
        </w:rPr>
        <w:t>122</w:t>
      </w:r>
      <w:r w:rsidRPr="008047DF">
        <w:rPr>
          <w:noProof/>
          <w:sz w:val="22"/>
        </w:rPr>
        <w:t>(2), 181–8. doi:10.1006/gcen.2001.7629</w:t>
      </w:r>
    </w:p>
    <w:p w14:paraId="489378DC" w14:textId="77777777" w:rsidR="00A42AD1" w:rsidRPr="008047DF" w:rsidRDefault="00A42AD1" w:rsidP="00A42AD1">
      <w:pPr>
        <w:pStyle w:val="NormalWeb"/>
        <w:spacing w:line="360" w:lineRule="auto"/>
        <w:ind w:left="480" w:hanging="480"/>
        <w:rPr>
          <w:noProof/>
          <w:sz w:val="22"/>
        </w:rPr>
      </w:pPr>
      <w:r w:rsidRPr="00221ABE">
        <w:rPr>
          <w:b/>
          <w:noProof/>
          <w:sz w:val="22"/>
        </w:rPr>
        <w:t>Lannig, G., Eilers, S., Pö</w:t>
      </w:r>
      <w:r>
        <w:rPr>
          <w:b/>
          <w:noProof/>
          <w:sz w:val="22"/>
        </w:rPr>
        <w:t>rtner, H. O., Sokolova, I. M., and</w:t>
      </w:r>
      <w:r w:rsidRPr="00221ABE">
        <w:rPr>
          <w:b/>
          <w:noProof/>
          <w:sz w:val="22"/>
        </w:rPr>
        <w:t xml:space="preserve"> Bock, C.</w:t>
      </w:r>
      <w:r w:rsidRPr="008047DF">
        <w:rPr>
          <w:noProof/>
          <w:sz w:val="22"/>
        </w:rPr>
        <w:t xml:space="preserve"> (2010). Impact of ocean acidification on energy metabolism of oyster, Crassostrea gigas--changes in metabolic pathways and thermal response. </w:t>
      </w:r>
      <w:r w:rsidRPr="008047DF">
        <w:rPr>
          <w:i/>
          <w:iCs/>
          <w:noProof/>
          <w:sz w:val="22"/>
        </w:rPr>
        <w:t>Marine drugs</w:t>
      </w:r>
      <w:r w:rsidRPr="008047DF">
        <w:rPr>
          <w:noProof/>
          <w:sz w:val="22"/>
        </w:rPr>
        <w:t xml:space="preserve">, </w:t>
      </w:r>
      <w:r w:rsidRPr="00221ABE">
        <w:rPr>
          <w:b/>
          <w:iCs/>
          <w:noProof/>
          <w:sz w:val="22"/>
        </w:rPr>
        <w:t>8</w:t>
      </w:r>
      <w:r w:rsidRPr="008047DF">
        <w:rPr>
          <w:noProof/>
          <w:sz w:val="22"/>
        </w:rPr>
        <w:t>(8), 2318–39. doi:10.3390/md8082318</w:t>
      </w:r>
    </w:p>
    <w:p w14:paraId="5C907C57" w14:textId="77777777" w:rsidR="00A42AD1" w:rsidRPr="008047DF" w:rsidRDefault="00A42AD1" w:rsidP="00A42AD1">
      <w:pPr>
        <w:pStyle w:val="NormalWeb"/>
        <w:spacing w:line="360" w:lineRule="auto"/>
        <w:ind w:left="480" w:hanging="480"/>
        <w:rPr>
          <w:noProof/>
          <w:sz w:val="22"/>
        </w:rPr>
      </w:pPr>
      <w:r>
        <w:rPr>
          <w:b/>
          <w:noProof/>
          <w:sz w:val="22"/>
        </w:rPr>
        <w:t>Lee, S. W., Kim, G. H., and</w:t>
      </w:r>
      <w:r w:rsidRPr="00221ABE">
        <w:rPr>
          <w:b/>
          <w:noProof/>
          <w:sz w:val="22"/>
        </w:rPr>
        <w:t xml:space="preserve"> Choi, C. S.</w:t>
      </w:r>
      <w:r w:rsidRPr="008047DF">
        <w:rPr>
          <w:noProof/>
          <w:sz w:val="22"/>
        </w:rPr>
        <w:t xml:space="preserve"> (2008). Characteristic crystal orientation of folia in oyster shell, Crassostrea gigas. </w:t>
      </w:r>
      <w:r w:rsidRPr="008047DF">
        <w:rPr>
          <w:i/>
          <w:iCs/>
          <w:noProof/>
          <w:sz w:val="22"/>
        </w:rPr>
        <w:t>Materials Science and Engineering: C</w:t>
      </w:r>
      <w:r w:rsidRPr="008047DF">
        <w:rPr>
          <w:noProof/>
          <w:sz w:val="22"/>
        </w:rPr>
        <w:t xml:space="preserve">, </w:t>
      </w:r>
      <w:r w:rsidRPr="00221ABE">
        <w:rPr>
          <w:b/>
          <w:iCs/>
          <w:noProof/>
          <w:sz w:val="22"/>
        </w:rPr>
        <w:t>28</w:t>
      </w:r>
      <w:r w:rsidRPr="008047DF">
        <w:rPr>
          <w:noProof/>
          <w:sz w:val="22"/>
        </w:rPr>
        <w:t>(2), 258–263. doi:10.1016/j.msec.2007.01.001</w:t>
      </w:r>
    </w:p>
    <w:p w14:paraId="2DFF0F71" w14:textId="77777777" w:rsidR="00A42AD1" w:rsidRPr="008047DF" w:rsidRDefault="00A42AD1" w:rsidP="00A42AD1">
      <w:pPr>
        <w:pStyle w:val="NormalWeb"/>
        <w:spacing w:line="360" w:lineRule="auto"/>
        <w:ind w:left="480" w:hanging="480"/>
        <w:rPr>
          <w:noProof/>
          <w:sz w:val="22"/>
        </w:rPr>
      </w:pPr>
      <w:r w:rsidRPr="00221ABE">
        <w:rPr>
          <w:b/>
          <w:noProof/>
          <w:sz w:val="22"/>
        </w:rPr>
        <w:t>Matoo, O. B., Ivanina, A</w:t>
      </w:r>
      <w:r>
        <w:rPr>
          <w:b/>
          <w:noProof/>
          <w:sz w:val="22"/>
        </w:rPr>
        <w:t>. V, Ullstad, C., Beniash, E., and</w:t>
      </w:r>
      <w:r w:rsidRPr="00221ABE">
        <w:rPr>
          <w:b/>
          <w:noProof/>
          <w:sz w:val="22"/>
        </w:rPr>
        <w:t xml:space="preserve"> Sokolova, I. M.</w:t>
      </w:r>
      <w:r w:rsidRPr="008047DF">
        <w:rPr>
          <w:noProof/>
          <w:sz w:val="22"/>
        </w:rPr>
        <w:t xml:space="preserve"> (2013). Interactive effects o</w:t>
      </w:r>
      <w:r>
        <w:rPr>
          <w:noProof/>
          <w:sz w:val="22"/>
        </w:rPr>
        <w:t>f elevated temperature and CO</w:t>
      </w:r>
      <w:r w:rsidRPr="0079158C">
        <w:rPr>
          <w:noProof/>
          <w:sz w:val="22"/>
          <w:vertAlign w:val="subscript"/>
        </w:rPr>
        <w:t>2</w:t>
      </w:r>
      <w:r w:rsidRPr="008047DF">
        <w:rPr>
          <w:noProof/>
          <w:sz w:val="22"/>
        </w:rPr>
        <w:t xml:space="preserve"> levels on metabolism and oxidative stress in two common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164</w:t>
      </w:r>
      <w:r w:rsidRPr="008047DF">
        <w:rPr>
          <w:noProof/>
          <w:sz w:val="22"/>
        </w:rPr>
        <w:t>(4), 545–53. doi:10.1016/j.cbpa.2012.12.025</w:t>
      </w:r>
    </w:p>
    <w:p w14:paraId="2D0022DE" w14:textId="77777777" w:rsidR="00A42AD1" w:rsidRPr="008047DF" w:rsidRDefault="00A42AD1" w:rsidP="00A42AD1">
      <w:pPr>
        <w:pStyle w:val="NormalWeb"/>
        <w:spacing w:line="360" w:lineRule="auto"/>
        <w:ind w:left="480" w:hanging="480"/>
        <w:rPr>
          <w:noProof/>
          <w:sz w:val="22"/>
        </w:rPr>
      </w:pPr>
      <w:r w:rsidRPr="00221ABE">
        <w:rPr>
          <w:b/>
          <w:noProof/>
          <w:sz w:val="22"/>
        </w:rPr>
        <w:t>Matson, P</w:t>
      </w:r>
      <w:r>
        <w:rPr>
          <w:b/>
          <w:noProof/>
          <w:sz w:val="22"/>
        </w:rPr>
        <w:t>. G., Yu, P. C., Sewell, M.A, and</w:t>
      </w:r>
      <w:r w:rsidRPr="00221ABE">
        <w:rPr>
          <w:b/>
          <w:noProof/>
          <w:sz w:val="22"/>
        </w:rPr>
        <w:t xml:space="preserve"> Hofmann, G. E. </w:t>
      </w:r>
      <w:r w:rsidRPr="008047DF">
        <w:rPr>
          <w:noProof/>
          <w:sz w:val="22"/>
        </w:rPr>
        <w:t>(2012). Development under elevated pCO</w:t>
      </w:r>
      <w:r w:rsidRPr="0079158C">
        <w:rPr>
          <w:noProof/>
          <w:sz w:val="22"/>
          <w:vertAlign w:val="subscript"/>
        </w:rPr>
        <w:t>2</w:t>
      </w:r>
      <w:r w:rsidRPr="008047DF">
        <w:rPr>
          <w:noProof/>
          <w:sz w:val="22"/>
        </w:rPr>
        <w:t xml:space="preserve"> conditions does not affect lipid utilization and protein content in early life-history stages of the purple sea urchin, Strongylocentrotus purpuratus. </w:t>
      </w:r>
      <w:r w:rsidRPr="008047DF">
        <w:rPr>
          <w:i/>
          <w:iCs/>
          <w:noProof/>
          <w:sz w:val="22"/>
        </w:rPr>
        <w:t>The Biological bulletin</w:t>
      </w:r>
      <w:r w:rsidRPr="008047DF">
        <w:rPr>
          <w:noProof/>
          <w:sz w:val="22"/>
        </w:rPr>
        <w:t xml:space="preserve">, </w:t>
      </w:r>
      <w:r w:rsidRPr="00221ABE">
        <w:rPr>
          <w:b/>
          <w:iCs/>
          <w:noProof/>
          <w:sz w:val="22"/>
        </w:rPr>
        <w:t>223</w:t>
      </w:r>
      <w:r w:rsidRPr="008047DF">
        <w:rPr>
          <w:noProof/>
          <w:sz w:val="22"/>
        </w:rPr>
        <w:t xml:space="preserve">(3), 312–27. </w:t>
      </w:r>
    </w:p>
    <w:p w14:paraId="794656B1"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Melzner, F., Gutowska, M. a., Langenbuch, M., Dupont, S., Lucassen, M., </w:t>
      </w:r>
      <w:r>
        <w:rPr>
          <w:b/>
          <w:noProof/>
          <w:sz w:val="22"/>
        </w:rPr>
        <w:t>Thorndyke, M. C.,  Bleich, M., and</w:t>
      </w:r>
      <w:r w:rsidRPr="00221ABE">
        <w:rPr>
          <w:b/>
          <w:noProof/>
          <w:sz w:val="22"/>
        </w:rPr>
        <w:t xml:space="preserve"> Pörtner, H.-O.</w:t>
      </w:r>
      <w:r w:rsidRPr="008047DF">
        <w:rPr>
          <w:noProof/>
          <w:sz w:val="22"/>
        </w:rPr>
        <w:t xml:space="preserve"> (2009). Physiological basis for high CO</w:t>
      </w:r>
      <w:r w:rsidRPr="008047DF">
        <w:rPr>
          <w:noProof/>
          <w:sz w:val="22"/>
          <w:vertAlign w:val="subscript"/>
        </w:rPr>
        <w:t>2</w:t>
      </w:r>
      <w:r w:rsidRPr="008047DF">
        <w:rPr>
          <w:noProof/>
          <w:sz w:val="22"/>
        </w:rPr>
        <w:t xml:space="preserve"> tolerance in marine ectothermic animals: pre-adaptation through lifestyle and ontogeny? </w:t>
      </w:r>
      <w:r w:rsidRPr="008047DF">
        <w:rPr>
          <w:i/>
          <w:iCs/>
          <w:noProof/>
          <w:sz w:val="22"/>
        </w:rPr>
        <w:t>Biogeosciences</w:t>
      </w:r>
      <w:r w:rsidRPr="008047DF">
        <w:rPr>
          <w:noProof/>
          <w:sz w:val="22"/>
        </w:rPr>
        <w:t xml:space="preserve">, </w:t>
      </w:r>
      <w:r w:rsidRPr="00221ABE">
        <w:rPr>
          <w:b/>
          <w:iCs/>
          <w:noProof/>
          <w:sz w:val="22"/>
        </w:rPr>
        <w:t>6</w:t>
      </w:r>
      <w:r w:rsidRPr="008047DF">
        <w:rPr>
          <w:noProof/>
          <w:sz w:val="22"/>
        </w:rPr>
        <w:t>(10), 2313–2331. doi:10.5194/bg-6-2313-2009</w:t>
      </w:r>
    </w:p>
    <w:p w14:paraId="1A78BF69" w14:textId="77777777" w:rsidR="00A42AD1" w:rsidRPr="008047DF" w:rsidRDefault="00A42AD1" w:rsidP="00A42AD1">
      <w:pPr>
        <w:pStyle w:val="NormalWeb"/>
        <w:spacing w:line="360" w:lineRule="auto"/>
        <w:ind w:left="480" w:hanging="480"/>
        <w:rPr>
          <w:noProof/>
          <w:sz w:val="22"/>
        </w:rPr>
      </w:pPr>
      <w:r w:rsidRPr="00221ABE">
        <w:rPr>
          <w:b/>
          <w:noProof/>
          <w:sz w:val="22"/>
        </w:rPr>
        <w:t>Melzner, Frank, Stange, P., Trübenbach, K., Thomsen, J., Casties,</w:t>
      </w:r>
      <w:r>
        <w:rPr>
          <w:b/>
          <w:noProof/>
          <w:sz w:val="22"/>
        </w:rPr>
        <w:t xml:space="preserve"> I., Panknin, U.,  Gorb, S.N. and </w:t>
      </w:r>
      <w:r w:rsidRPr="00221ABE">
        <w:rPr>
          <w:b/>
          <w:noProof/>
          <w:sz w:val="22"/>
        </w:rPr>
        <w:t>Gutowska, M.A.</w:t>
      </w:r>
      <w:r w:rsidRPr="008047DF">
        <w:rPr>
          <w:noProof/>
          <w:sz w:val="22"/>
        </w:rPr>
        <w:t xml:space="preserve"> (2011). Food supply and seawater pCO</w:t>
      </w:r>
      <w:r w:rsidRPr="0079158C">
        <w:rPr>
          <w:noProof/>
          <w:sz w:val="22"/>
          <w:vertAlign w:val="subscript"/>
        </w:rPr>
        <w:t>2</w:t>
      </w:r>
      <w:r w:rsidRPr="008047DF">
        <w:rPr>
          <w:noProof/>
          <w:sz w:val="22"/>
        </w:rPr>
        <w:t xml:space="preserve"> impact calcification and internal shell dissolution in the blue mussel Mytilus edulis. </w:t>
      </w:r>
      <w:r w:rsidRPr="008047DF">
        <w:rPr>
          <w:i/>
          <w:iCs/>
          <w:noProof/>
          <w:sz w:val="22"/>
        </w:rPr>
        <w:t>PloS one</w:t>
      </w:r>
      <w:r w:rsidRPr="008047DF">
        <w:rPr>
          <w:noProof/>
          <w:sz w:val="22"/>
        </w:rPr>
        <w:t xml:space="preserve">, </w:t>
      </w:r>
      <w:r w:rsidRPr="00221ABE">
        <w:rPr>
          <w:b/>
          <w:iCs/>
          <w:noProof/>
          <w:sz w:val="22"/>
        </w:rPr>
        <w:t>6</w:t>
      </w:r>
      <w:r w:rsidRPr="008047DF">
        <w:rPr>
          <w:noProof/>
          <w:sz w:val="22"/>
        </w:rPr>
        <w:t>(9), e24223. doi:10.1371/journal.pone.0024223</w:t>
      </w:r>
    </w:p>
    <w:p w14:paraId="2553E368" w14:textId="77777777" w:rsidR="00A42AD1" w:rsidRPr="008047DF" w:rsidRDefault="00A42AD1" w:rsidP="00A42AD1">
      <w:pPr>
        <w:pStyle w:val="NormalWeb"/>
        <w:spacing w:line="360" w:lineRule="auto"/>
        <w:ind w:left="480" w:hanging="480"/>
        <w:rPr>
          <w:noProof/>
          <w:sz w:val="22"/>
        </w:rPr>
      </w:pPr>
      <w:r>
        <w:rPr>
          <w:b/>
          <w:noProof/>
          <w:sz w:val="22"/>
        </w:rPr>
        <w:t>Milke, L. M., Bricelj, V. M., and</w:t>
      </w:r>
      <w:r w:rsidRPr="00221ABE">
        <w:rPr>
          <w:b/>
          <w:noProof/>
          <w:sz w:val="22"/>
        </w:rPr>
        <w:t xml:space="preserve"> Parrish, C. C.</w:t>
      </w:r>
      <w:r w:rsidRPr="008047DF">
        <w:rPr>
          <w:noProof/>
          <w:sz w:val="22"/>
        </w:rPr>
        <w:t xml:space="preserve"> (2004). Growth of postlarval sea scallops, Placopecten magellanicus, on microalgal diets, with emphasis on the nutritional role of lipids and fatty acids. </w:t>
      </w:r>
      <w:r w:rsidRPr="008047DF">
        <w:rPr>
          <w:i/>
          <w:iCs/>
          <w:noProof/>
          <w:sz w:val="22"/>
        </w:rPr>
        <w:t>Aquaculture</w:t>
      </w:r>
      <w:r w:rsidRPr="008047DF">
        <w:rPr>
          <w:noProof/>
          <w:sz w:val="22"/>
        </w:rPr>
        <w:t xml:space="preserve">, </w:t>
      </w:r>
      <w:r w:rsidRPr="00221ABE">
        <w:rPr>
          <w:b/>
          <w:iCs/>
          <w:noProof/>
          <w:sz w:val="22"/>
        </w:rPr>
        <w:t>234</w:t>
      </w:r>
      <w:r w:rsidRPr="008047DF">
        <w:rPr>
          <w:noProof/>
          <w:sz w:val="22"/>
        </w:rPr>
        <w:t>(1-4), 293–317. doi:10.1016/j.aquaculture.2003.11.006</w:t>
      </w:r>
    </w:p>
    <w:p w14:paraId="1E47D278"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Mizock, B. A. </w:t>
      </w:r>
      <w:r w:rsidRPr="008047DF">
        <w:rPr>
          <w:noProof/>
          <w:sz w:val="22"/>
        </w:rPr>
        <w:t xml:space="preserve">(1995). Alterations in Carbohydrate metabolism during stress: A review of the literature. </w:t>
      </w:r>
      <w:r w:rsidRPr="008047DF">
        <w:rPr>
          <w:i/>
          <w:iCs/>
          <w:noProof/>
          <w:sz w:val="22"/>
        </w:rPr>
        <w:t>The American Journal of Medicine</w:t>
      </w:r>
      <w:r w:rsidRPr="008047DF">
        <w:rPr>
          <w:noProof/>
          <w:sz w:val="22"/>
        </w:rPr>
        <w:t xml:space="preserve">, </w:t>
      </w:r>
      <w:r w:rsidRPr="00221ABE">
        <w:rPr>
          <w:b/>
          <w:iCs/>
          <w:noProof/>
          <w:sz w:val="22"/>
        </w:rPr>
        <w:t>98</w:t>
      </w:r>
      <w:r w:rsidRPr="008047DF">
        <w:rPr>
          <w:noProof/>
          <w:sz w:val="22"/>
        </w:rPr>
        <w:t>, 75–84.</w:t>
      </w:r>
    </w:p>
    <w:p w14:paraId="4461F639" w14:textId="77777777" w:rsidR="00A42AD1" w:rsidRPr="008047DF" w:rsidRDefault="00A42AD1" w:rsidP="00A42AD1">
      <w:pPr>
        <w:pStyle w:val="NormalWeb"/>
        <w:spacing w:line="360" w:lineRule="auto"/>
        <w:ind w:left="480" w:hanging="480"/>
        <w:rPr>
          <w:noProof/>
          <w:sz w:val="22"/>
        </w:rPr>
      </w:pPr>
      <w:r w:rsidRPr="00221ABE">
        <w:rPr>
          <w:b/>
          <w:noProof/>
          <w:sz w:val="22"/>
        </w:rPr>
        <w:t>Mohanty, P., Hamouda, W., Gar</w:t>
      </w:r>
      <w:r>
        <w:rPr>
          <w:b/>
          <w:noProof/>
          <w:sz w:val="22"/>
        </w:rPr>
        <w:t>g, R., Aljada, A., Ghanim, H., and</w:t>
      </w:r>
      <w:r w:rsidRPr="00221ABE">
        <w:rPr>
          <w:b/>
          <w:noProof/>
          <w:sz w:val="22"/>
        </w:rPr>
        <w:t xml:space="preserve"> Dandona, P. </w:t>
      </w:r>
      <w:r w:rsidRPr="008047DF">
        <w:rPr>
          <w:noProof/>
          <w:sz w:val="22"/>
        </w:rPr>
        <w:t xml:space="preserve">(2000). Glucose challenge stimulates reactive oxygen species (ROS) generation by leucocytes. </w:t>
      </w:r>
      <w:r w:rsidRPr="008047DF">
        <w:rPr>
          <w:i/>
          <w:iCs/>
          <w:noProof/>
          <w:sz w:val="22"/>
        </w:rPr>
        <w:t>The Journal of Clinical Endocrinology and Metabolism</w:t>
      </w:r>
      <w:r w:rsidRPr="008047DF">
        <w:rPr>
          <w:noProof/>
          <w:sz w:val="22"/>
        </w:rPr>
        <w:t xml:space="preserve">, </w:t>
      </w:r>
      <w:r w:rsidRPr="00221ABE">
        <w:rPr>
          <w:b/>
          <w:iCs/>
          <w:noProof/>
          <w:sz w:val="22"/>
        </w:rPr>
        <w:t>85</w:t>
      </w:r>
      <w:r w:rsidRPr="008047DF">
        <w:rPr>
          <w:noProof/>
          <w:sz w:val="22"/>
        </w:rPr>
        <w:t>(8), 2970–2973.</w:t>
      </w:r>
    </w:p>
    <w:p w14:paraId="7D2FBE1F" w14:textId="77777777" w:rsidR="00A42AD1" w:rsidRPr="008047DF" w:rsidRDefault="00A42AD1" w:rsidP="00A42AD1">
      <w:pPr>
        <w:pStyle w:val="NormalWeb"/>
        <w:spacing w:line="360" w:lineRule="auto"/>
        <w:ind w:left="480" w:hanging="480"/>
        <w:rPr>
          <w:noProof/>
          <w:sz w:val="22"/>
        </w:rPr>
      </w:pPr>
      <w:r w:rsidRPr="00221ABE">
        <w:rPr>
          <w:b/>
          <w:noProof/>
          <w:sz w:val="22"/>
        </w:rPr>
        <w:t>O’</w:t>
      </w:r>
      <w:r>
        <w:rPr>
          <w:b/>
          <w:noProof/>
          <w:sz w:val="22"/>
        </w:rPr>
        <w:t>Donnell, M. J., George, M. N.,  and</w:t>
      </w:r>
      <w:r w:rsidRPr="00221ABE">
        <w:rPr>
          <w:b/>
          <w:noProof/>
          <w:sz w:val="22"/>
        </w:rPr>
        <w:t xml:space="preserve"> Carrington, E.</w:t>
      </w:r>
      <w:r w:rsidRPr="008047DF">
        <w:rPr>
          <w:noProof/>
          <w:sz w:val="22"/>
        </w:rPr>
        <w:t xml:space="preserve"> (2013). Mussel byssus attachment weakened by ocean acidification. </w:t>
      </w:r>
      <w:r w:rsidRPr="008047DF">
        <w:rPr>
          <w:i/>
          <w:iCs/>
          <w:noProof/>
          <w:sz w:val="22"/>
        </w:rPr>
        <w:t>Nature Climate Change</w:t>
      </w:r>
      <w:r w:rsidRPr="008047DF">
        <w:rPr>
          <w:noProof/>
          <w:sz w:val="22"/>
        </w:rPr>
        <w:t xml:space="preserve">, </w:t>
      </w:r>
      <w:r w:rsidRPr="00221ABE">
        <w:rPr>
          <w:b/>
          <w:iCs/>
          <w:noProof/>
          <w:sz w:val="22"/>
        </w:rPr>
        <w:t>3</w:t>
      </w:r>
      <w:r w:rsidRPr="008047DF">
        <w:rPr>
          <w:noProof/>
          <w:sz w:val="22"/>
        </w:rPr>
        <w:t>(6), 587–590. doi:10.1038/nclimate1846</w:t>
      </w:r>
    </w:p>
    <w:p w14:paraId="2B9DAE2A" w14:textId="77777777" w:rsidR="00A42AD1" w:rsidRPr="008047DF" w:rsidRDefault="00A42AD1" w:rsidP="00A42AD1">
      <w:pPr>
        <w:pStyle w:val="NormalWeb"/>
        <w:spacing w:line="360" w:lineRule="auto"/>
        <w:ind w:left="480" w:hanging="480"/>
        <w:rPr>
          <w:noProof/>
          <w:sz w:val="22"/>
        </w:rPr>
      </w:pPr>
      <w:r w:rsidRPr="00221ABE">
        <w:rPr>
          <w:b/>
          <w:noProof/>
          <w:sz w:val="22"/>
        </w:rPr>
        <w:t>Oksanen, J., Guillaume Blanchet, F., Kindt, R., Legendre, P., Minchin, P.R., O'Hara, R.B., Simpson, G.L.</w:t>
      </w:r>
      <w:r>
        <w:rPr>
          <w:b/>
          <w:noProof/>
          <w:sz w:val="22"/>
        </w:rPr>
        <w:t>, Solymos P., Stevens, M.H.H., and</w:t>
      </w:r>
      <w:r w:rsidRPr="00221ABE">
        <w:rPr>
          <w:b/>
          <w:noProof/>
          <w:sz w:val="22"/>
        </w:rPr>
        <w:t xml:space="preserve"> Wagner, H.</w:t>
      </w:r>
      <w:r w:rsidRPr="008047DF">
        <w:rPr>
          <w:noProof/>
          <w:sz w:val="22"/>
        </w:rPr>
        <w:t xml:space="preserve"> (2013). vegan: Community Ecology Package. R package version 2.0-8. http://CRAN.R-project.org/package=vegan.</w:t>
      </w:r>
    </w:p>
    <w:p w14:paraId="5B2F4152" w14:textId="77777777" w:rsidR="00A42AD1" w:rsidRPr="008047DF" w:rsidRDefault="00A42AD1" w:rsidP="00A42AD1">
      <w:pPr>
        <w:pStyle w:val="NormalWeb"/>
        <w:spacing w:line="360" w:lineRule="auto"/>
        <w:ind w:left="480" w:hanging="480"/>
        <w:rPr>
          <w:noProof/>
          <w:sz w:val="22"/>
        </w:rPr>
      </w:pPr>
      <w:r w:rsidRPr="00221ABE">
        <w:rPr>
          <w:b/>
          <w:noProof/>
          <w:sz w:val="22"/>
        </w:rPr>
        <w:t>Orr, J. C., Fabry, V. J., Aumont, O., Bopp, L., Doney, S. C., Feely, R.A., Gnandesikan, A., Gruber, N., Ishida, A., Joos, F. et al.</w:t>
      </w:r>
      <w:r w:rsidRPr="008047DF">
        <w:rPr>
          <w:noProof/>
          <w:sz w:val="22"/>
        </w:rPr>
        <w:t xml:space="preserve"> (2005). Anthropogenic ocean acidification over the twenty-first century and its impact on calcifying organisms. </w:t>
      </w:r>
      <w:r w:rsidRPr="008047DF">
        <w:rPr>
          <w:i/>
          <w:iCs/>
          <w:noProof/>
          <w:sz w:val="22"/>
        </w:rPr>
        <w:t>Nature</w:t>
      </w:r>
      <w:r w:rsidRPr="008047DF">
        <w:rPr>
          <w:noProof/>
          <w:sz w:val="22"/>
        </w:rPr>
        <w:t xml:space="preserve">, </w:t>
      </w:r>
      <w:r w:rsidRPr="00221ABE">
        <w:rPr>
          <w:b/>
          <w:iCs/>
          <w:noProof/>
          <w:sz w:val="22"/>
        </w:rPr>
        <w:t>437</w:t>
      </w:r>
      <w:r w:rsidRPr="008047DF">
        <w:rPr>
          <w:noProof/>
          <w:sz w:val="22"/>
        </w:rPr>
        <w:t>(7059), 681–6. doi:10.1038/nature04095</w:t>
      </w:r>
    </w:p>
    <w:p w14:paraId="3EE9CC3E" w14:textId="77777777" w:rsidR="00A42AD1" w:rsidRPr="008047DF" w:rsidRDefault="00A42AD1" w:rsidP="00A42AD1">
      <w:pPr>
        <w:pStyle w:val="NormalWeb"/>
        <w:spacing w:line="360" w:lineRule="auto"/>
        <w:ind w:left="480" w:hanging="480"/>
        <w:rPr>
          <w:noProof/>
          <w:sz w:val="22"/>
        </w:rPr>
      </w:pPr>
      <w:r w:rsidRPr="00221ABE">
        <w:rPr>
          <w:b/>
          <w:noProof/>
          <w:sz w:val="22"/>
        </w:rPr>
        <w:t>Paine, R. T.</w:t>
      </w:r>
      <w:r w:rsidRPr="008047DF">
        <w:rPr>
          <w:noProof/>
          <w:sz w:val="22"/>
        </w:rPr>
        <w:t xml:space="preserve"> (1971). Energy flow in a natural population of the herbivorous gastropod Tegula funebralis. </w:t>
      </w:r>
      <w:r w:rsidRPr="008047DF">
        <w:rPr>
          <w:i/>
          <w:iCs/>
          <w:noProof/>
          <w:sz w:val="22"/>
        </w:rPr>
        <w:t>Limnology and Oceanography</w:t>
      </w:r>
      <w:r w:rsidRPr="008047DF">
        <w:rPr>
          <w:noProof/>
          <w:sz w:val="22"/>
        </w:rPr>
        <w:t xml:space="preserve">, </w:t>
      </w:r>
      <w:r w:rsidRPr="00221ABE">
        <w:rPr>
          <w:b/>
          <w:iCs/>
          <w:noProof/>
          <w:sz w:val="22"/>
        </w:rPr>
        <w:t>16</w:t>
      </w:r>
      <w:r w:rsidRPr="008047DF">
        <w:rPr>
          <w:noProof/>
          <w:sz w:val="22"/>
        </w:rPr>
        <w:t>(1), 86–98.</w:t>
      </w:r>
    </w:p>
    <w:p w14:paraId="2A4D3E1E" w14:textId="77777777" w:rsidR="00A42AD1" w:rsidRPr="008047DF" w:rsidRDefault="00A42AD1" w:rsidP="00A42AD1">
      <w:pPr>
        <w:pStyle w:val="NormalWeb"/>
        <w:spacing w:line="360" w:lineRule="auto"/>
        <w:ind w:left="480" w:hanging="480"/>
        <w:rPr>
          <w:noProof/>
          <w:sz w:val="22"/>
        </w:rPr>
      </w:pPr>
      <w:r w:rsidRPr="00221ABE">
        <w:rPr>
          <w:b/>
          <w:noProof/>
          <w:sz w:val="22"/>
        </w:rPr>
        <w:t>Palmer, A. R.</w:t>
      </w:r>
      <w:r w:rsidRPr="008047DF">
        <w:rPr>
          <w:noProof/>
          <w:sz w:val="22"/>
        </w:rPr>
        <w:t xml:space="preserve"> (1992). Calcification in marine molluscs: how costly is it?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89</w:t>
      </w:r>
      <w:r w:rsidRPr="008047DF">
        <w:rPr>
          <w:noProof/>
          <w:sz w:val="22"/>
        </w:rPr>
        <w:t>(4), 1379–82.</w:t>
      </w:r>
    </w:p>
    <w:p w14:paraId="7054C556" w14:textId="77777777" w:rsidR="00A42AD1" w:rsidRPr="008047DF" w:rsidRDefault="00A42AD1" w:rsidP="00A42AD1">
      <w:pPr>
        <w:pStyle w:val="NormalWeb"/>
        <w:spacing w:line="360" w:lineRule="auto"/>
        <w:ind w:left="480" w:hanging="480"/>
        <w:rPr>
          <w:noProof/>
          <w:sz w:val="22"/>
        </w:rPr>
      </w:pPr>
      <w:r w:rsidRPr="00221ABE">
        <w:rPr>
          <w:b/>
          <w:noProof/>
          <w:sz w:val="22"/>
        </w:rPr>
        <w:t>Parker, L. M</w:t>
      </w:r>
      <w:r>
        <w:rPr>
          <w:b/>
          <w:noProof/>
          <w:sz w:val="22"/>
        </w:rPr>
        <w:t>., Ross, P. M., and O’Connor, W.A</w:t>
      </w:r>
      <w:r w:rsidRPr="00221ABE">
        <w:rPr>
          <w:b/>
          <w:noProof/>
          <w:sz w:val="22"/>
        </w:rPr>
        <w:t xml:space="preserve">. </w:t>
      </w:r>
      <w:r w:rsidRPr="008047DF">
        <w:rPr>
          <w:noProof/>
          <w:sz w:val="22"/>
        </w:rPr>
        <w:t>(2010). Comparing the effect of elevated pCO</w:t>
      </w:r>
      <w:r w:rsidRPr="0079158C">
        <w:rPr>
          <w:noProof/>
          <w:sz w:val="22"/>
          <w:vertAlign w:val="subscript"/>
        </w:rPr>
        <w:t>2</w:t>
      </w:r>
      <w:r w:rsidRPr="008047DF">
        <w:rPr>
          <w:noProof/>
          <w:sz w:val="22"/>
        </w:rPr>
        <w:t xml:space="preserve"> and temperature on the fertilization and early development of two species of oysters. </w:t>
      </w:r>
      <w:r w:rsidRPr="008047DF">
        <w:rPr>
          <w:i/>
          <w:iCs/>
          <w:noProof/>
          <w:sz w:val="22"/>
        </w:rPr>
        <w:t>Marine Biology</w:t>
      </w:r>
      <w:r w:rsidRPr="008047DF">
        <w:rPr>
          <w:noProof/>
          <w:sz w:val="22"/>
        </w:rPr>
        <w:t xml:space="preserve">, </w:t>
      </w:r>
      <w:r w:rsidRPr="00221ABE">
        <w:rPr>
          <w:b/>
          <w:iCs/>
          <w:noProof/>
          <w:sz w:val="22"/>
        </w:rPr>
        <w:t>157</w:t>
      </w:r>
      <w:r w:rsidRPr="008047DF">
        <w:rPr>
          <w:noProof/>
          <w:sz w:val="22"/>
        </w:rPr>
        <w:t>(11), 2435–2452. doi:10.1007/s00227-010-1508-3</w:t>
      </w:r>
    </w:p>
    <w:p w14:paraId="7F23562C" w14:textId="77777777" w:rsidR="00A42AD1" w:rsidRPr="008047DF" w:rsidRDefault="00A42AD1" w:rsidP="00A42AD1">
      <w:pPr>
        <w:pStyle w:val="NormalWeb"/>
        <w:spacing w:line="360" w:lineRule="auto"/>
        <w:ind w:left="480" w:hanging="480"/>
        <w:rPr>
          <w:noProof/>
          <w:sz w:val="22"/>
        </w:rPr>
      </w:pPr>
      <w:r w:rsidRPr="00221ABE">
        <w:rPr>
          <w:b/>
          <w:noProof/>
          <w:sz w:val="22"/>
        </w:rPr>
        <w:t>Parrou, J. L., Teste,</w:t>
      </w:r>
      <w:r>
        <w:rPr>
          <w:b/>
          <w:noProof/>
          <w:sz w:val="22"/>
        </w:rPr>
        <w:t xml:space="preserve"> M., Franqois, J., Durand, G., and</w:t>
      </w:r>
      <w:r w:rsidRPr="00221ABE">
        <w:rPr>
          <w:b/>
          <w:noProof/>
          <w:sz w:val="22"/>
        </w:rPr>
        <w:t xml:space="preserve"> Cnrs, U. M. R. </w:t>
      </w:r>
      <w:r w:rsidRPr="008047DF">
        <w:rPr>
          <w:noProof/>
          <w:sz w:val="22"/>
        </w:rPr>
        <w:t>(1997). Effects of various types of stress on the metabolism of reserve carbohydrates in Saccharomyces cerevisiae</w:t>
      </w:r>
      <w:r w:rsidRPr="008047DF">
        <w:rPr>
          <w:rFonts w:ascii="Times New Roman" w:hAnsi="Times New Roman"/>
          <w:noProof/>
          <w:sz w:val="22"/>
        </w:rPr>
        <w:t> </w:t>
      </w:r>
      <w:r w:rsidRPr="008047DF">
        <w:rPr>
          <w:noProof/>
          <w:sz w:val="22"/>
        </w:rPr>
        <w:t>: genetic evidence for a stress-induce</w:t>
      </w:r>
      <w:r>
        <w:rPr>
          <w:noProof/>
          <w:sz w:val="22"/>
        </w:rPr>
        <w:t xml:space="preserve">d recycling of glycogen and trehalose. </w:t>
      </w:r>
      <w:r>
        <w:rPr>
          <w:i/>
          <w:noProof/>
          <w:sz w:val="22"/>
        </w:rPr>
        <w:t>Microbiology</w:t>
      </w:r>
      <w:r>
        <w:rPr>
          <w:noProof/>
          <w:sz w:val="22"/>
        </w:rPr>
        <w:t xml:space="preserve">, </w:t>
      </w:r>
      <w:r>
        <w:rPr>
          <w:b/>
          <w:noProof/>
          <w:sz w:val="22"/>
        </w:rPr>
        <w:t>143</w:t>
      </w:r>
      <w:r>
        <w:rPr>
          <w:noProof/>
          <w:sz w:val="22"/>
        </w:rPr>
        <w:t>,</w:t>
      </w:r>
      <w:r w:rsidRPr="008047DF">
        <w:rPr>
          <w:noProof/>
          <w:sz w:val="22"/>
        </w:rPr>
        <w:t xml:space="preserve"> 1891–1900.</w:t>
      </w:r>
    </w:p>
    <w:p w14:paraId="09ADBF6A" w14:textId="77777777" w:rsidR="00A42AD1" w:rsidRPr="008047DF" w:rsidRDefault="00A42AD1" w:rsidP="00A42AD1">
      <w:pPr>
        <w:pStyle w:val="NormalWeb"/>
        <w:spacing w:line="360" w:lineRule="auto"/>
        <w:ind w:left="480" w:hanging="480"/>
        <w:rPr>
          <w:noProof/>
          <w:sz w:val="22"/>
        </w:rPr>
      </w:pPr>
      <w:r w:rsidRPr="00221ABE">
        <w:rPr>
          <w:b/>
          <w:noProof/>
          <w:sz w:val="22"/>
        </w:rPr>
        <w:t>Pespeni, M. H., Sanford, E., Gaylord, B., Hill, T. M., Hosfelt, J. D., Jaris, H. K., LaVigne, M., Lenz, E.A., Russell, A.D., Young, M.D., et al.</w:t>
      </w:r>
      <w:r w:rsidRPr="008047DF">
        <w:rPr>
          <w:noProof/>
          <w:sz w:val="22"/>
        </w:rPr>
        <w:t xml:space="preserve"> (2013). Evolutionary change during experimental ocean acidification.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110</w:t>
      </w:r>
      <w:r w:rsidRPr="008047DF">
        <w:rPr>
          <w:noProof/>
          <w:sz w:val="22"/>
        </w:rPr>
        <w:t>(17), 6937–42. doi:10.1073/pnas.1220673110</w:t>
      </w:r>
    </w:p>
    <w:p w14:paraId="6994E87F"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Pettersen, A. K., Turchini, G. M., </w:t>
      </w:r>
      <w:r>
        <w:rPr>
          <w:b/>
          <w:noProof/>
          <w:sz w:val="22"/>
        </w:rPr>
        <w:t xml:space="preserve">Jahangard, S., Ingram, B.A., and </w:t>
      </w:r>
      <w:r w:rsidRPr="00221ABE">
        <w:rPr>
          <w:b/>
          <w:noProof/>
          <w:sz w:val="22"/>
        </w:rPr>
        <w:t>Sherman, C. D. H.</w:t>
      </w:r>
      <w:r w:rsidRPr="008047DF">
        <w:rPr>
          <w:noProof/>
          <w:sz w:val="22"/>
        </w:rPr>
        <w:t xml:space="preserve"> (2010). Effects of different dietary microalgae on survival, growth, settlement and fatty acid composition of blue mussel (Mytilus galloprovincialis) larvae. </w:t>
      </w:r>
      <w:r w:rsidRPr="008047DF">
        <w:rPr>
          <w:i/>
          <w:iCs/>
          <w:noProof/>
          <w:sz w:val="22"/>
        </w:rPr>
        <w:t>Aquaculture</w:t>
      </w:r>
      <w:r w:rsidRPr="008047DF">
        <w:rPr>
          <w:noProof/>
          <w:sz w:val="22"/>
        </w:rPr>
        <w:t xml:space="preserve">, </w:t>
      </w:r>
      <w:r w:rsidRPr="00221ABE">
        <w:rPr>
          <w:b/>
          <w:iCs/>
          <w:noProof/>
          <w:sz w:val="22"/>
        </w:rPr>
        <w:t>309</w:t>
      </w:r>
      <w:r w:rsidRPr="008047DF">
        <w:rPr>
          <w:noProof/>
          <w:sz w:val="22"/>
        </w:rPr>
        <w:t>(1-4), 115–124. doi:10.1016/j.aquaculture.2010.09.024</w:t>
      </w:r>
    </w:p>
    <w:p w14:paraId="10A849AC" w14:textId="77777777" w:rsidR="00A42AD1" w:rsidRPr="008047DF" w:rsidRDefault="00A42AD1" w:rsidP="00A42AD1">
      <w:pPr>
        <w:pStyle w:val="NormalWeb"/>
        <w:spacing w:line="360" w:lineRule="auto"/>
        <w:ind w:left="480" w:hanging="480"/>
        <w:rPr>
          <w:noProof/>
          <w:sz w:val="22"/>
        </w:rPr>
      </w:pPr>
      <w:r w:rsidRPr="00221ABE">
        <w:rPr>
          <w:b/>
          <w:noProof/>
          <w:sz w:val="22"/>
        </w:rPr>
        <w:t>R Core Team</w:t>
      </w:r>
      <w:r w:rsidRPr="008047DF">
        <w:rPr>
          <w:noProof/>
          <w:sz w:val="22"/>
        </w:rPr>
        <w:t xml:space="preserve"> (2013). R: A language and environment for statistical computing. R Foundation for Statistical Computing, Vienna, Austria. URL http://www.R-project.org/.</w:t>
      </w:r>
    </w:p>
    <w:p w14:paraId="231F16CA" w14:textId="77777777" w:rsidR="00A42AD1" w:rsidRPr="008047DF" w:rsidRDefault="00A42AD1" w:rsidP="00A42AD1">
      <w:pPr>
        <w:pStyle w:val="NormalWeb"/>
        <w:spacing w:line="360" w:lineRule="auto"/>
        <w:ind w:left="480" w:hanging="480"/>
        <w:rPr>
          <w:noProof/>
          <w:sz w:val="22"/>
        </w:rPr>
      </w:pPr>
      <w:r w:rsidRPr="00221ABE">
        <w:rPr>
          <w:b/>
          <w:noProof/>
          <w:sz w:val="22"/>
        </w:rPr>
        <w:t>Robbins, L.L., Hansen, M.E., Kleypas, J.A., and Meylan, S.C.</w:t>
      </w:r>
      <w:r w:rsidRPr="008047DF">
        <w:rPr>
          <w:noProof/>
          <w:sz w:val="22"/>
        </w:rPr>
        <w:t xml:space="preserve"> (2010). CO</w:t>
      </w:r>
      <w:r w:rsidRPr="0079158C">
        <w:rPr>
          <w:noProof/>
          <w:sz w:val="22"/>
          <w:vertAlign w:val="subscript"/>
        </w:rPr>
        <w:t>2</w:t>
      </w:r>
      <w:r w:rsidRPr="008047DF">
        <w:rPr>
          <w:noProof/>
          <w:sz w:val="22"/>
        </w:rPr>
        <w:t>calc - A user-friends seawater carbon calculator for Windows, Mac OS X, and iOS (iPhone): U.S. Geoglogical Survey Open-File Report 2010-1280. 17 pp.</w:t>
      </w:r>
    </w:p>
    <w:p w14:paraId="7ABA0BE9" w14:textId="77777777" w:rsidR="00A42AD1" w:rsidRPr="008047DF" w:rsidRDefault="00A42AD1" w:rsidP="00A42AD1">
      <w:pPr>
        <w:pStyle w:val="NormalWeb"/>
        <w:spacing w:line="360" w:lineRule="auto"/>
        <w:ind w:left="480" w:hanging="480"/>
        <w:rPr>
          <w:noProof/>
          <w:sz w:val="22"/>
        </w:rPr>
      </w:pPr>
      <w:r w:rsidRPr="00221ABE">
        <w:rPr>
          <w:b/>
          <w:noProof/>
          <w:sz w:val="22"/>
        </w:rPr>
        <w:t>Rosenberg, G. D. and Hughes, W. W.</w:t>
      </w:r>
      <w:r w:rsidRPr="008047DF">
        <w:rPr>
          <w:noProof/>
          <w:sz w:val="22"/>
        </w:rPr>
        <w:t xml:space="preserve"> (1991). A metabolic model for the determination of shell composition in the bivalve mollusc, Mytilus edulis. </w:t>
      </w:r>
      <w:r w:rsidRPr="008047DF">
        <w:rPr>
          <w:i/>
          <w:iCs/>
          <w:noProof/>
          <w:sz w:val="22"/>
        </w:rPr>
        <w:t>Lethaia</w:t>
      </w:r>
      <w:r w:rsidRPr="008047DF">
        <w:rPr>
          <w:noProof/>
          <w:sz w:val="22"/>
        </w:rPr>
        <w:t xml:space="preserve">, </w:t>
      </w:r>
      <w:r w:rsidRPr="00221ABE">
        <w:rPr>
          <w:b/>
          <w:iCs/>
          <w:noProof/>
          <w:sz w:val="22"/>
        </w:rPr>
        <w:t>24</w:t>
      </w:r>
      <w:r w:rsidRPr="008047DF">
        <w:rPr>
          <w:noProof/>
          <w:sz w:val="22"/>
        </w:rPr>
        <w:t>(1), 83–96.</w:t>
      </w:r>
    </w:p>
    <w:p w14:paraId="4E67E341" w14:textId="77777777" w:rsidR="00A42AD1" w:rsidRPr="008047DF" w:rsidRDefault="00A42AD1" w:rsidP="00A42AD1">
      <w:pPr>
        <w:pStyle w:val="NormalWeb"/>
        <w:spacing w:line="360" w:lineRule="auto"/>
        <w:ind w:left="480" w:hanging="480"/>
        <w:rPr>
          <w:noProof/>
          <w:sz w:val="22"/>
        </w:rPr>
      </w:pPr>
      <w:r w:rsidRPr="00221ABE">
        <w:rPr>
          <w:b/>
          <w:noProof/>
          <w:sz w:val="22"/>
        </w:rPr>
        <w:t>Soudant, P., Van Ryckeghem, K., Marty, Y., Moal, J., Samain, J. F., and Sorgeloos, P.</w:t>
      </w:r>
      <w:r w:rsidRPr="008047DF">
        <w:rPr>
          <w:noProof/>
          <w:sz w:val="22"/>
        </w:rPr>
        <w:t xml:space="preserve"> (1999). Comparison of the lipid class and fatty acid composition between a reproductive cycle in nature and a standard hatchery conditioning of the Pacific Oyster Crassostrea gigas. </w:t>
      </w:r>
      <w:r w:rsidRPr="008047DF">
        <w:rPr>
          <w:i/>
          <w:iCs/>
          <w:noProof/>
          <w:sz w:val="22"/>
        </w:rPr>
        <w:t>Comparative Biochemistry and Physiology Part B: Biochemistry and Molecular Biology</w:t>
      </w:r>
      <w:r w:rsidRPr="008047DF">
        <w:rPr>
          <w:noProof/>
          <w:sz w:val="22"/>
        </w:rPr>
        <w:t xml:space="preserve">, </w:t>
      </w:r>
      <w:r w:rsidRPr="00221ABE">
        <w:rPr>
          <w:b/>
          <w:iCs/>
          <w:noProof/>
          <w:sz w:val="22"/>
        </w:rPr>
        <w:t>123</w:t>
      </w:r>
      <w:r w:rsidRPr="008047DF">
        <w:rPr>
          <w:noProof/>
          <w:sz w:val="22"/>
        </w:rPr>
        <w:t>(2), 209–222. doi:10.1016/S0305-0491(99)00063-2</w:t>
      </w:r>
    </w:p>
    <w:p w14:paraId="028606F7"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Storey, J. D. </w:t>
      </w:r>
      <w:r w:rsidRPr="008047DF">
        <w:rPr>
          <w:noProof/>
          <w:sz w:val="22"/>
        </w:rPr>
        <w:t xml:space="preserve">(2002). A direct approach to false discovery rates. </w:t>
      </w:r>
      <w:r w:rsidRPr="008047DF">
        <w:rPr>
          <w:i/>
          <w:iCs/>
          <w:noProof/>
          <w:sz w:val="22"/>
        </w:rPr>
        <w:t>Journal of the Royal Statistical Society: Series B (Statistical Methodology)</w:t>
      </w:r>
      <w:r w:rsidRPr="008047DF">
        <w:rPr>
          <w:noProof/>
          <w:sz w:val="22"/>
        </w:rPr>
        <w:t xml:space="preserve">, </w:t>
      </w:r>
      <w:r w:rsidRPr="00221ABE">
        <w:rPr>
          <w:b/>
          <w:iCs/>
          <w:noProof/>
          <w:sz w:val="22"/>
        </w:rPr>
        <w:t>64</w:t>
      </w:r>
      <w:r w:rsidRPr="008047DF">
        <w:rPr>
          <w:noProof/>
          <w:sz w:val="22"/>
        </w:rPr>
        <w:t>(3), 479–498. doi:10.1111/1467-9868.00346</w:t>
      </w:r>
    </w:p>
    <w:p w14:paraId="6AC5D6BE" w14:textId="77777777" w:rsidR="00A42AD1" w:rsidRPr="008047DF" w:rsidRDefault="00A42AD1" w:rsidP="00A42AD1">
      <w:pPr>
        <w:pStyle w:val="NormalWeb"/>
        <w:spacing w:line="360" w:lineRule="auto"/>
        <w:ind w:left="480" w:hanging="480"/>
        <w:rPr>
          <w:noProof/>
          <w:sz w:val="22"/>
        </w:rPr>
      </w:pPr>
      <w:r w:rsidRPr="00221ABE">
        <w:rPr>
          <w:b/>
          <w:noProof/>
          <w:sz w:val="22"/>
        </w:rPr>
        <w:t>Storey, J. D. and Tibshirani, R.</w:t>
      </w:r>
      <w:r w:rsidRPr="008047DF">
        <w:rPr>
          <w:noProof/>
          <w:sz w:val="22"/>
        </w:rPr>
        <w:t xml:space="preserve"> (2003). Statistical significance for genomewide studies.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100</w:t>
      </w:r>
      <w:r w:rsidRPr="008047DF">
        <w:rPr>
          <w:noProof/>
          <w:sz w:val="22"/>
        </w:rPr>
        <w:t>(16), 9440–5. doi:10.1073/pnas.1530509100</w:t>
      </w:r>
    </w:p>
    <w:p w14:paraId="42CC2CE3" w14:textId="77777777" w:rsidR="00A42AD1" w:rsidRPr="008047DF" w:rsidRDefault="00A42AD1" w:rsidP="00A42AD1">
      <w:pPr>
        <w:pStyle w:val="NormalWeb"/>
        <w:spacing w:line="360" w:lineRule="auto"/>
        <w:ind w:left="480" w:hanging="480"/>
        <w:rPr>
          <w:noProof/>
          <w:sz w:val="22"/>
        </w:rPr>
      </w:pPr>
      <w:r w:rsidRPr="00221ABE">
        <w:rPr>
          <w:b/>
          <w:noProof/>
          <w:sz w:val="22"/>
        </w:rPr>
        <w:t>Stumpp, M., Wren, J., Melzner, F., Thorndyke, M. C., and Dupont, S. T.</w:t>
      </w:r>
      <w:r w:rsidRPr="008047DF">
        <w:rPr>
          <w:noProof/>
          <w:sz w:val="22"/>
        </w:rPr>
        <w:t xml:space="preserve"> (2011). CO</w:t>
      </w:r>
      <w:r w:rsidRPr="0079158C">
        <w:rPr>
          <w:noProof/>
          <w:sz w:val="22"/>
          <w:vertAlign w:val="subscript"/>
        </w:rPr>
        <w:t>2</w:t>
      </w:r>
      <w:r w:rsidRPr="008047DF">
        <w:rPr>
          <w:noProof/>
          <w:sz w:val="22"/>
        </w:rPr>
        <w:t xml:space="preserve"> induced seawater acidification impacts sea urchin larval development I: elevated metabolic rates decrease scope for growth and induce developmental delay.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160</w:t>
      </w:r>
      <w:r w:rsidRPr="008047DF">
        <w:rPr>
          <w:noProof/>
          <w:sz w:val="22"/>
        </w:rPr>
        <w:t>(3), 331–40. doi:10.1016/j.cbpa.2011.06.022</w:t>
      </w:r>
    </w:p>
    <w:p w14:paraId="2DE2E698" w14:textId="77777777" w:rsidR="00A42AD1" w:rsidRPr="008047DF" w:rsidRDefault="00A42AD1" w:rsidP="00A42AD1">
      <w:pPr>
        <w:pStyle w:val="NormalWeb"/>
        <w:spacing w:line="360" w:lineRule="auto"/>
        <w:ind w:left="480" w:hanging="480"/>
        <w:rPr>
          <w:noProof/>
          <w:sz w:val="22"/>
        </w:rPr>
      </w:pPr>
      <w:r w:rsidRPr="00221ABE">
        <w:rPr>
          <w:b/>
          <w:noProof/>
          <w:sz w:val="22"/>
        </w:rPr>
        <w:t>Talmage, S. C., and Gobler, C. J.</w:t>
      </w:r>
      <w:r w:rsidRPr="008047DF">
        <w:rPr>
          <w:noProof/>
          <w:sz w:val="22"/>
        </w:rPr>
        <w:t xml:space="preserve"> (2011). Effects of elevated temperature and carbon dioxide on the growth and survival of larvae and juveniles of three species of northwest Atlantic bivalves. </w:t>
      </w:r>
      <w:r w:rsidRPr="008047DF">
        <w:rPr>
          <w:i/>
          <w:iCs/>
          <w:noProof/>
          <w:sz w:val="22"/>
        </w:rPr>
        <w:t>PloS one</w:t>
      </w:r>
      <w:r w:rsidRPr="008047DF">
        <w:rPr>
          <w:noProof/>
          <w:sz w:val="22"/>
        </w:rPr>
        <w:t xml:space="preserve">, </w:t>
      </w:r>
      <w:r w:rsidRPr="00221ABE">
        <w:rPr>
          <w:b/>
          <w:iCs/>
          <w:noProof/>
          <w:sz w:val="22"/>
        </w:rPr>
        <w:t>6</w:t>
      </w:r>
      <w:r w:rsidRPr="008047DF">
        <w:rPr>
          <w:noProof/>
          <w:sz w:val="22"/>
        </w:rPr>
        <w:t>(10), e26941. doi:10.1371/journal.pone.0026941</w:t>
      </w:r>
    </w:p>
    <w:p w14:paraId="74B51ECC" w14:textId="77777777" w:rsidR="00A42AD1" w:rsidRPr="008047DF" w:rsidRDefault="00A42AD1" w:rsidP="00A42AD1">
      <w:pPr>
        <w:pStyle w:val="NormalWeb"/>
        <w:spacing w:line="360" w:lineRule="auto"/>
        <w:ind w:left="480" w:hanging="480"/>
        <w:rPr>
          <w:noProof/>
          <w:sz w:val="22"/>
        </w:rPr>
      </w:pPr>
      <w:r w:rsidRPr="00221ABE">
        <w:rPr>
          <w:b/>
          <w:noProof/>
          <w:sz w:val="22"/>
        </w:rPr>
        <w:t xml:space="preserve">Timmins-Schiffman, E., Nunn, B. L., Goodlett, D. R., and Roberts, S. B. </w:t>
      </w:r>
      <w:r w:rsidRPr="008047DF">
        <w:rPr>
          <w:noProof/>
          <w:sz w:val="22"/>
        </w:rPr>
        <w:t xml:space="preserve">(2013). Shotgun proteomics as a viable approach for biological discovery in the Pacific oyster. </w:t>
      </w:r>
      <w:r w:rsidRPr="008047DF">
        <w:rPr>
          <w:i/>
          <w:iCs/>
          <w:noProof/>
          <w:sz w:val="22"/>
        </w:rPr>
        <w:t>Conservation Physiology</w:t>
      </w:r>
      <w:r w:rsidRPr="008047DF">
        <w:rPr>
          <w:noProof/>
          <w:sz w:val="22"/>
        </w:rPr>
        <w:t xml:space="preserve">, </w:t>
      </w:r>
      <w:r w:rsidRPr="00221ABE">
        <w:rPr>
          <w:b/>
          <w:iCs/>
          <w:noProof/>
          <w:sz w:val="22"/>
        </w:rPr>
        <w:t>1</w:t>
      </w:r>
      <w:r w:rsidRPr="008047DF">
        <w:rPr>
          <w:noProof/>
          <w:sz w:val="22"/>
        </w:rPr>
        <w:t>(1), cot009–cot009. doi:10.1093/conphys/cot009</w:t>
      </w:r>
    </w:p>
    <w:p w14:paraId="636B602F" w14:textId="77777777" w:rsidR="00A42AD1" w:rsidRPr="008047DF" w:rsidRDefault="00A42AD1" w:rsidP="00A42AD1">
      <w:pPr>
        <w:pStyle w:val="NormalWeb"/>
        <w:spacing w:line="360" w:lineRule="auto"/>
        <w:ind w:left="480" w:hanging="480"/>
        <w:rPr>
          <w:noProof/>
          <w:sz w:val="22"/>
        </w:rPr>
      </w:pPr>
      <w:r w:rsidRPr="00221ABE">
        <w:rPr>
          <w:b/>
          <w:noProof/>
          <w:sz w:val="22"/>
        </w:rPr>
        <w:t>Timmins-Schiffman, Emma, O’Donnell, M. J., Friedman, C. S., and Roberts, S. B.</w:t>
      </w:r>
      <w:r w:rsidRPr="008047DF">
        <w:rPr>
          <w:noProof/>
          <w:sz w:val="22"/>
        </w:rPr>
        <w:t xml:space="preserve"> (2012). Elevated pCO</w:t>
      </w:r>
      <w:r w:rsidRPr="0079158C">
        <w:rPr>
          <w:noProof/>
          <w:sz w:val="22"/>
          <w:vertAlign w:val="subscript"/>
        </w:rPr>
        <w:t>2</w:t>
      </w:r>
      <w:r w:rsidRPr="008047DF">
        <w:rPr>
          <w:noProof/>
          <w:sz w:val="22"/>
        </w:rPr>
        <w:t xml:space="preserve"> causes developmental delay in early larval Pacific oysters, Crassostrea gigas. </w:t>
      </w:r>
      <w:r w:rsidRPr="008047DF">
        <w:rPr>
          <w:i/>
          <w:iCs/>
          <w:noProof/>
          <w:sz w:val="22"/>
        </w:rPr>
        <w:t>Marine Biology</w:t>
      </w:r>
      <w:r w:rsidRPr="008047DF">
        <w:rPr>
          <w:noProof/>
          <w:sz w:val="22"/>
        </w:rPr>
        <w:t xml:space="preserve">, </w:t>
      </w:r>
      <w:r w:rsidRPr="00221ABE">
        <w:rPr>
          <w:b/>
          <w:iCs/>
          <w:noProof/>
          <w:sz w:val="22"/>
        </w:rPr>
        <w:t>160</w:t>
      </w:r>
      <w:r w:rsidRPr="008047DF">
        <w:rPr>
          <w:noProof/>
          <w:sz w:val="22"/>
        </w:rPr>
        <w:t>(8), 1973–1982. doi:10.1007/s00227-012-2055-x</w:t>
      </w:r>
    </w:p>
    <w:p w14:paraId="2955D074" w14:textId="77777777" w:rsidR="00A42AD1" w:rsidRPr="008047DF" w:rsidRDefault="00A42AD1" w:rsidP="00A42AD1">
      <w:pPr>
        <w:pStyle w:val="NormalWeb"/>
        <w:spacing w:line="360" w:lineRule="auto"/>
        <w:ind w:left="480" w:hanging="480"/>
        <w:rPr>
          <w:noProof/>
          <w:sz w:val="22"/>
        </w:rPr>
      </w:pPr>
      <w:r w:rsidRPr="00221ABE">
        <w:rPr>
          <w:b/>
          <w:noProof/>
          <w:sz w:val="22"/>
        </w:rPr>
        <w:t>Todgham, A. E., and Hofmann, G. E.</w:t>
      </w:r>
      <w:r w:rsidRPr="008047DF">
        <w:rPr>
          <w:noProof/>
          <w:sz w:val="22"/>
        </w:rPr>
        <w:t xml:space="preserve"> (2009). Transcriptomic response of sea urchin larvae Strongylocentrotus purpuratus to CO2-driven seawater acidification. </w:t>
      </w:r>
      <w:r w:rsidRPr="008047DF">
        <w:rPr>
          <w:i/>
          <w:iCs/>
          <w:noProof/>
          <w:sz w:val="22"/>
        </w:rPr>
        <w:t>The Journal of experimental biology</w:t>
      </w:r>
      <w:r w:rsidRPr="008047DF">
        <w:rPr>
          <w:noProof/>
          <w:sz w:val="22"/>
        </w:rPr>
        <w:t xml:space="preserve">, </w:t>
      </w:r>
      <w:r w:rsidRPr="00221ABE">
        <w:rPr>
          <w:b/>
          <w:iCs/>
          <w:noProof/>
          <w:sz w:val="22"/>
        </w:rPr>
        <w:t>212</w:t>
      </w:r>
      <w:r>
        <w:rPr>
          <w:noProof/>
          <w:sz w:val="22"/>
        </w:rPr>
        <w:t>(</w:t>
      </w:r>
      <w:r w:rsidRPr="008047DF">
        <w:rPr>
          <w:noProof/>
          <w:sz w:val="22"/>
        </w:rPr>
        <w:t>16), 2579–94. doi:10.1242/jeb.032540</w:t>
      </w:r>
    </w:p>
    <w:p w14:paraId="5C2AC2C3" w14:textId="77777777" w:rsidR="00A42AD1" w:rsidRPr="008047DF" w:rsidRDefault="00A42AD1" w:rsidP="00A42AD1">
      <w:pPr>
        <w:pStyle w:val="NormalWeb"/>
        <w:spacing w:line="360" w:lineRule="auto"/>
        <w:ind w:left="480" w:hanging="480"/>
        <w:rPr>
          <w:noProof/>
          <w:sz w:val="22"/>
        </w:rPr>
      </w:pPr>
      <w:r w:rsidRPr="00221ABE">
        <w:rPr>
          <w:b/>
          <w:noProof/>
          <w:sz w:val="22"/>
        </w:rPr>
        <w:t>Tomanek, L., Zuzow, M. J., Ivanina, A. V, Beniash, E., and Sokolova, I. M.</w:t>
      </w:r>
      <w:r w:rsidRPr="008047DF">
        <w:rPr>
          <w:noProof/>
          <w:sz w:val="22"/>
        </w:rPr>
        <w:t xml:space="preserve"> (2011). Proteomic response to elevated PCO</w:t>
      </w:r>
      <w:r w:rsidRPr="0079158C">
        <w:rPr>
          <w:noProof/>
          <w:sz w:val="22"/>
          <w:vertAlign w:val="subscript"/>
        </w:rPr>
        <w:t>2</w:t>
      </w:r>
      <w:r w:rsidRPr="008047DF">
        <w:rPr>
          <w:noProof/>
          <w:sz w:val="22"/>
        </w:rPr>
        <w:t xml:space="preserve"> level in eastern oysters, Crassostrea virginica: evidence for oxidative stress. </w:t>
      </w:r>
      <w:r w:rsidRPr="008047DF">
        <w:rPr>
          <w:i/>
          <w:iCs/>
          <w:noProof/>
          <w:sz w:val="22"/>
        </w:rPr>
        <w:t>The Journal of experimental biology</w:t>
      </w:r>
      <w:r w:rsidRPr="008047DF">
        <w:rPr>
          <w:noProof/>
          <w:sz w:val="22"/>
        </w:rPr>
        <w:t xml:space="preserve">, </w:t>
      </w:r>
      <w:r w:rsidRPr="0080670D">
        <w:rPr>
          <w:b/>
          <w:iCs/>
          <w:noProof/>
          <w:sz w:val="22"/>
        </w:rPr>
        <w:t>214</w:t>
      </w:r>
      <w:r>
        <w:rPr>
          <w:noProof/>
          <w:sz w:val="22"/>
        </w:rPr>
        <w:t>(</w:t>
      </w:r>
      <w:r w:rsidRPr="008047DF">
        <w:rPr>
          <w:noProof/>
          <w:sz w:val="22"/>
        </w:rPr>
        <w:t>11), 1836–44. doi:10.1242/jeb.055475</w:t>
      </w:r>
    </w:p>
    <w:p w14:paraId="6F7E9DC3" w14:textId="77777777" w:rsidR="00A42AD1" w:rsidRPr="008047DF" w:rsidRDefault="00A42AD1" w:rsidP="00A42AD1">
      <w:pPr>
        <w:pStyle w:val="NormalWeb"/>
        <w:spacing w:line="360" w:lineRule="auto"/>
        <w:ind w:left="480" w:hanging="480"/>
        <w:rPr>
          <w:noProof/>
          <w:sz w:val="22"/>
        </w:rPr>
      </w:pPr>
      <w:r w:rsidRPr="00221ABE">
        <w:rPr>
          <w:b/>
          <w:noProof/>
          <w:sz w:val="22"/>
        </w:rPr>
        <w:t>Trider, D. J., and Castell, J. D.</w:t>
      </w:r>
      <w:r w:rsidRPr="008047DF">
        <w:rPr>
          <w:noProof/>
          <w:sz w:val="22"/>
        </w:rPr>
        <w:t xml:space="preserve"> (1980). Effect of dietary lipids on growth, tissue composition and metabolism of the oyster (Crassostrea virginica). </w:t>
      </w:r>
      <w:r w:rsidRPr="008047DF">
        <w:rPr>
          <w:i/>
          <w:iCs/>
          <w:noProof/>
          <w:sz w:val="22"/>
        </w:rPr>
        <w:t>The Journal of nutrition</w:t>
      </w:r>
      <w:r w:rsidRPr="008047DF">
        <w:rPr>
          <w:noProof/>
          <w:sz w:val="22"/>
        </w:rPr>
        <w:t xml:space="preserve">, </w:t>
      </w:r>
      <w:r w:rsidRPr="0080670D">
        <w:rPr>
          <w:b/>
          <w:iCs/>
          <w:noProof/>
          <w:sz w:val="22"/>
        </w:rPr>
        <w:t>110</w:t>
      </w:r>
      <w:r>
        <w:rPr>
          <w:noProof/>
          <w:sz w:val="22"/>
        </w:rPr>
        <w:t>(7), 1303–9.</w:t>
      </w:r>
    </w:p>
    <w:p w14:paraId="67772365" w14:textId="77777777" w:rsidR="00A42AD1" w:rsidRPr="008047DF" w:rsidRDefault="00A42AD1" w:rsidP="00A42AD1">
      <w:pPr>
        <w:pStyle w:val="NormalWeb"/>
        <w:spacing w:line="360" w:lineRule="auto"/>
        <w:ind w:left="480" w:hanging="480"/>
        <w:rPr>
          <w:noProof/>
          <w:sz w:val="22"/>
        </w:rPr>
      </w:pPr>
      <w:r w:rsidRPr="00221ABE">
        <w:rPr>
          <w:b/>
          <w:noProof/>
          <w:sz w:val="22"/>
        </w:rPr>
        <w:t>Welladsen, H. M., Southgate, P. C.,  and Heimann, K.</w:t>
      </w:r>
      <w:r>
        <w:rPr>
          <w:noProof/>
          <w:sz w:val="22"/>
        </w:rPr>
        <w:t xml:space="preserve"> </w:t>
      </w:r>
      <w:r w:rsidRPr="008047DF">
        <w:rPr>
          <w:noProof/>
          <w:sz w:val="22"/>
        </w:rPr>
        <w:t>(2010). The effects of exposure to near-future levels of ocean acidification on shell characteristics of Pinctada fucata ( Bivalvia</w:t>
      </w:r>
      <w:r w:rsidRPr="008047DF">
        <w:rPr>
          <w:rFonts w:ascii="Times New Roman" w:hAnsi="Times New Roman"/>
          <w:noProof/>
          <w:sz w:val="22"/>
        </w:rPr>
        <w:t> </w:t>
      </w:r>
      <w:r>
        <w:rPr>
          <w:noProof/>
          <w:sz w:val="22"/>
        </w:rPr>
        <w:t xml:space="preserve">: Pteriidae ). </w:t>
      </w:r>
      <w:r>
        <w:rPr>
          <w:i/>
          <w:noProof/>
          <w:sz w:val="22"/>
        </w:rPr>
        <w:t>Molluscan Research</w:t>
      </w:r>
      <w:r>
        <w:rPr>
          <w:noProof/>
          <w:sz w:val="22"/>
        </w:rPr>
        <w:t>,</w:t>
      </w:r>
      <w:r w:rsidRPr="008047DF">
        <w:rPr>
          <w:noProof/>
          <w:sz w:val="22"/>
        </w:rPr>
        <w:t xml:space="preserve"> </w:t>
      </w:r>
      <w:r w:rsidRPr="0080670D">
        <w:rPr>
          <w:b/>
          <w:iCs/>
          <w:noProof/>
          <w:sz w:val="22"/>
        </w:rPr>
        <w:t>30</w:t>
      </w:r>
      <w:r w:rsidRPr="008047DF">
        <w:rPr>
          <w:noProof/>
          <w:sz w:val="22"/>
        </w:rPr>
        <w:t>(3), 125–130.</w:t>
      </w:r>
    </w:p>
    <w:p w14:paraId="76E1E53F" w14:textId="6CF518F8" w:rsidR="00071B1D" w:rsidRPr="00CC339E" w:rsidRDefault="00A42AD1" w:rsidP="00A42AD1">
      <w:pPr>
        <w:pStyle w:val="NormalWeb"/>
        <w:spacing w:line="360" w:lineRule="auto"/>
        <w:ind w:left="480" w:hanging="480"/>
        <w:rPr>
          <w:noProof/>
          <w:sz w:val="22"/>
        </w:rPr>
      </w:pPr>
      <w:r w:rsidRPr="00221ABE">
        <w:rPr>
          <w:b/>
          <w:noProof/>
          <w:sz w:val="22"/>
        </w:rPr>
        <w:t>Wong, K. K. W., Lane, A. C., Leung, P. T. Y., and Thiyagarajan, V.</w:t>
      </w:r>
      <w:r w:rsidRPr="008047DF">
        <w:rPr>
          <w:noProof/>
          <w:sz w:val="22"/>
        </w:rPr>
        <w:t xml:space="preserve"> (2011). Response of larval barnacle proteome to CO(2)-driven seawater acidification. </w:t>
      </w:r>
      <w:r w:rsidRPr="008047DF">
        <w:rPr>
          <w:i/>
          <w:iCs/>
          <w:noProof/>
          <w:sz w:val="22"/>
        </w:rPr>
        <w:t>Comparative biochemistry and physiology. Part D, Genomics &amp; proteomics</w:t>
      </w:r>
      <w:r w:rsidRPr="008047DF">
        <w:rPr>
          <w:noProof/>
          <w:sz w:val="22"/>
        </w:rPr>
        <w:t xml:space="preserve">, </w:t>
      </w:r>
      <w:r w:rsidRPr="0080670D">
        <w:rPr>
          <w:b/>
          <w:iCs/>
          <w:noProof/>
          <w:sz w:val="22"/>
        </w:rPr>
        <w:t>6</w:t>
      </w:r>
      <w:r w:rsidRPr="008047DF">
        <w:rPr>
          <w:noProof/>
          <w:sz w:val="22"/>
        </w:rPr>
        <w:t>(3), 310–21. doi:10.1016/j.cbd.2011.07.001</w:t>
      </w:r>
    </w:p>
    <w:p w14:paraId="45639B90" w14:textId="3406B57B" w:rsidR="00C02D9B" w:rsidRDefault="00295E93" w:rsidP="00C02D9B">
      <w:pPr>
        <w:pStyle w:val="Heading1"/>
      </w:pPr>
      <w:bookmarkStart w:id="95" w:name="_Toc249155400"/>
      <w:r>
        <w:t>Appendix A</w:t>
      </w:r>
      <w:r w:rsidR="00C02D9B">
        <w:t>:  Exploration of enzymatic activity of Pacific oyster antioxidant proteins in response to ocean acidification</w:t>
      </w:r>
      <w:bookmarkEnd w:id="95"/>
    </w:p>
    <w:p w14:paraId="1953CD30" w14:textId="77777777" w:rsidR="00C02D9B" w:rsidRDefault="00C02D9B" w:rsidP="00C02D9B">
      <w:pPr>
        <w:pStyle w:val="Heading2"/>
      </w:pPr>
      <w:bookmarkStart w:id="96" w:name="_Toc249155401"/>
      <w:r>
        <w:t>Abstract</w:t>
      </w:r>
      <w:bookmarkEnd w:id="96"/>
    </w:p>
    <w:p w14:paraId="3EF3772A" w14:textId="77777777" w:rsidR="00C02D9B" w:rsidRDefault="00C02D9B" w:rsidP="00C02D9B">
      <w:pPr>
        <w:pStyle w:val="Heading2"/>
      </w:pPr>
      <w:bookmarkStart w:id="97" w:name="_Toc249155402"/>
      <w:r>
        <w:t>Introduction</w:t>
      </w:r>
      <w:bookmarkEnd w:id="97"/>
    </w:p>
    <w:p w14:paraId="1D2F6019" w14:textId="77777777" w:rsidR="00C02D9B" w:rsidRDefault="00C02D9B" w:rsidP="00C02D9B">
      <w:pPr>
        <w:pStyle w:val="Heading2"/>
      </w:pPr>
      <w:bookmarkStart w:id="98" w:name="_Toc249155403"/>
      <w:r>
        <w:t>Methods</w:t>
      </w:r>
      <w:bookmarkEnd w:id="98"/>
    </w:p>
    <w:p w14:paraId="6DD44480"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Carbonate Chemistry</w:t>
      </w:r>
    </w:p>
    <w:p w14:paraId="0354E1E2"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This experiment was conducted at the Friday Harbor Labs Ocean Acidification Environmental Laboratory, Friday Harbor, Washington, USA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Oysters</w:t>
      </w:r>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Glutathione S-transferase: protein extraction and enzymatic assay</w:t>
      </w:r>
    </w:p>
    <w:p w14:paraId="39122A4D" w14:textId="6D652D59"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 mM EDTA, and 50 µl of Triton®  X-100).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Glutathione S-Transferase Assay Kit (SIgma,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Superoxide dismutase: protein extraction and enzymatic assay</w:t>
      </w:r>
    </w:p>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rotein was extracted from gill tissue (23.3-96.8 mg) from 4 oysters from the 400 µatm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the 19160 SOD determination kit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20 minute period with readings every 1 min, 10 sec.  A single time point corresponding to the linear portion of the curve for each sample (at 15 minutes, 10 seconds) was chosen to calculate SOD activity.</w:t>
      </w:r>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Protein Concentration</w:t>
      </w:r>
    </w:p>
    <w:p w14:paraId="71268DB0"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run in triplicate and absorbances were read at 750 nm on a Synergy HT spectrophotometer (BioTek) using KC4 v. 3 software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Statistical Analysis</w:t>
      </w:r>
    </w:p>
    <w:p w14:paraId="0508C92B" w14:textId="66C76A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All statistical analyses were execute</w:t>
      </w:r>
      <w:r w:rsidR="00305757">
        <w:rPr>
          <w:rFonts w:ascii="Times" w:hAnsi="Times" w:cs="Arial"/>
          <w:color w:val="000000"/>
          <w:lang w:eastAsia="en-US"/>
        </w:rPr>
        <w:t>d</w:t>
      </w:r>
      <w:r w:rsidRPr="00F451C2">
        <w:rPr>
          <w:rFonts w:ascii="Times" w:hAnsi="Times" w:cs="Arial"/>
          <w:color w:val="000000"/>
          <w:lang w:eastAsia="en-US"/>
        </w:rPr>
        <w:t xml:space="preserve"> in R (R Development Team 2013</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where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  </w:t>
      </w:r>
    </w:p>
    <w:p w14:paraId="680E3A01" w14:textId="1A1B2A02"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for not contributing significantly to the background SOD activity.  Replicates were excluded (1 each for 6 samples) if linearity of the reaction curve was not achieved by the time point 15 min, 10s.  The linear relationship between % inhibition and ln[standard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99" w:name="_Toc249155404"/>
      <w:r>
        <w:t>Results</w:t>
      </w:r>
      <w:bookmarkEnd w:id="99"/>
    </w:p>
    <w:p w14:paraId="588A4BD2" w14:textId="77777777"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Arial"/>
          <w:i/>
          <w:iCs/>
          <w:color w:val="000000"/>
          <w:lang w:eastAsia="en-US"/>
        </w:rPr>
        <w:t>Glutathione S-transferase</w:t>
      </w:r>
    </w:p>
    <w:p w14:paraId="0FBE03AA" w14:textId="0B9B4FA1"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400 µatm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(F=0.3517, p=0.7893).</w:t>
      </w:r>
    </w:p>
    <w:p w14:paraId="46A65968" w14:textId="794F0542" w:rsidR="00F451C2" w:rsidRDefault="00F451C2" w:rsidP="00F451C2">
      <w:pPr>
        <w:spacing w:line="360" w:lineRule="auto"/>
        <w:rPr>
          <w:rFonts w:ascii="Times" w:hAnsi="Times"/>
        </w:rPr>
      </w:pPr>
      <w:r>
        <w:rPr>
          <w:rFonts w:ascii="Times" w:hAnsi="Times"/>
          <w:noProof/>
          <w:lang w:eastAsia="en-US"/>
        </w:rPr>
        <w:drawing>
          <wp:inline distT="0" distB="0" distL="0" distR="0" wp14:anchorId="6789A19F" wp14:editId="4B6FD47C">
            <wp:extent cx="3804714" cy="470154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with conf intervals.jpg"/>
                    <pic:cNvPicPr/>
                  </pic:nvPicPr>
                  <pic:blipFill rotWithShape="1">
                    <a:blip r:embed="rId36">
                      <a:extLst>
                        <a:ext uri="{28A0092B-C50C-407E-A947-70E740481C1C}">
                          <a14:useLocalDpi xmlns:a14="http://schemas.microsoft.com/office/drawing/2010/main" val="0"/>
                        </a:ext>
                      </a:extLst>
                    </a:blip>
                    <a:srcRect r="19075"/>
                    <a:stretch/>
                  </pic:blipFill>
                  <pic:spPr bwMode="auto">
                    <a:xfrm>
                      <a:off x="0" y="0"/>
                      <a:ext cx="3804714" cy="4701540"/>
                    </a:xfrm>
                    <a:prstGeom prst="rect">
                      <a:avLst/>
                    </a:prstGeom>
                    <a:ln>
                      <a:noFill/>
                    </a:ln>
                    <a:extLst>
                      <a:ext uri="{53640926-AAD7-44d8-BBD7-CCE9431645EC}">
                        <a14:shadowObscured xmlns:a14="http://schemas.microsoft.com/office/drawing/2010/main"/>
                      </a:ext>
                    </a:extLst>
                  </pic:spPr>
                </pic:pic>
              </a:graphicData>
            </a:graphic>
          </wp:inline>
        </w:drawing>
      </w:r>
    </w:p>
    <w:p w14:paraId="5F5A7017" w14:textId="0F7DEA61"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8C2D86" w14:textId="74BB35FC" w:rsidR="00F451C2" w:rsidRPr="00F451C2" w:rsidRDefault="00F451C2" w:rsidP="00F451C2">
      <w:pPr>
        <w:spacing w:line="360" w:lineRule="auto"/>
        <w:rPr>
          <w:rFonts w:ascii="Times" w:hAnsi="Times"/>
        </w:rPr>
      </w:pPr>
    </w:p>
    <w:p w14:paraId="3FE6B145" w14:textId="41B397D6"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Superoxide dismutase</w:t>
      </w:r>
    </w:p>
    <w:p w14:paraId="21A67558" w14:textId="4E8DF86C"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400 µatm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(F=17.011, p=3.122E-5).  This difference was found to be due to the elevated SOD activity in oysters exposed to 2800 µatm compared to the other two treatments (</w:t>
      </w:r>
      <w:r w:rsidR="00305757">
        <w:rPr>
          <w:rFonts w:ascii="Times" w:hAnsi="Times" w:cs="Arial"/>
          <w:color w:val="000000"/>
          <w:lang w:eastAsia="en-US"/>
        </w:rPr>
        <w:t>p &lt; 0.05</w:t>
      </w:r>
      <w:bookmarkStart w:id="100" w:name="_GoBack"/>
      <w:bookmarkEnd w:id="100"/>
      <w:r w:rsidRPr="00F451C2">
        <w:rPr>
          <w:rFonts w:ascii="Times" w:hAnsi="Times" w:cs="Arial"/>
          <w:color w:val="000000"/>
          <w:lang w:eastAsia="en-US"/>
        </w:rPr>
        <w:t>), which were not different from each other.</w:t>
      </w:r>
    </w:p>
    <w:p w14:paraId="1C3775E3" w14:textId="51FF5C07" w:rsidR="00F451C2" w:rsidRDefault="00F451C2" w:rsidP="00F451C2">
      <w:pPr>
        <w:spacing w:line="360" w:lineRule="auto"/>
        <w:rPr>
          <w:rFonts w:ascii="Times" w:hAnsi="Times" w:cs="Times New Roman"/>
          <w:lang w:eastAsia="en-US"/>
        </w:rPr>
      </w:pPr>
      <w:r>
        <w:rPr>
          <w:rFonts w:ascii="Times" w:hAnsi="Times" w:cs="Times New Roman"/>
          <w:noProof/>
          <w:lang w:eastAsia="en-US"/>
        </w:rPr>
        <w:drawing>
          <wp:inline distT="0" distB="0" distL="0" distR="0" wp14:anchorId="4C7A5694" wp14:editId="67C61B5E">
            <wp:extent cx="4419600" cy="54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with conf intervals.jpg"/>
                    <pic:cNvPicPr/>
                  </pic:nvPicPr>
                  <pic:blipFill rotWithShape="1">
                    <a:blip r:embed="rId37">
                      <a:extLst>
                        <a:ext uri="{28A0092B-C50C-407E-A947-70E740481C1C}">
                          <a14:useLocalDpi xmlns:a14="http://schemas.microsoft.com/office/drawing/2010/main" val="0"/>
                        </a:ext>
                      </a:extLst>
                    </a:blip>
                    <a:srcRect r="19444"/>
                    <a:stretch/>
                  </pic:blipFill>
                  <pic:spPr bwMode="auto">
                    <a:xfrm>
                      <a:off x="0" y="0"/>
                      <a:ext cx="4419600" cy="5486400"/>
                    </a:xfrm>
                    <a:prstGeom prst="rect">
                      <a:avLst/>
                    </a:prstGeom>
                    <a:ln>
                      <a:noFill/>
                    </a:ln>
                    <a:extLst>
                      <a:ext uri="{53640926-AAD7-44d8-BBD7-CCE9431645EC}">
                        <a14:shadowObscured xmlns:a14="http://schemas.microsoft.com/office/drawing/2010/main"/>
                      </a:ext>
                    </a:extLst>
                  </pic:spPr>
                </pic:pic>
              </a:graphicData>
            </a:graphic>
          </wp:inline>
        </w:drawing>
      </w:r>
    </w:p>
    <w:p w14:paraId="4B56F984" w14:textId="77777777"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treatment.  SOD activities in 2800 µatm and 2800 µatm + mechanical stress are statistically different from those in 400 and 1000 µatm.</w:t>
      </w:r>
    </w:p>
    <w:p w14:paraId="3614D47E" w14:textId="2DD30124" w:rsidR="00F451C2" w:rsidRPr="00F451C2" w:rsidRDefault="00F451C2" w:rsidP="00F451C2">
      <w:pPr>
        <w:spacing w:line="360" w:lineRule="auto"/>
        <w:rPr>
          <w:rFonts w:ascii="Times" w:hAnsi="Times" w:cs="Times New Roman"/>
          <w:lang w:eastAsia="en-US"/>
        </w:rPr>
      </w:pPr>
    </w:p>
    <w:p w14:paraId="69A07580" w14:textId="77777777" w:rsidR="00C02D9B" w:rsidRDefault="00C02D9B" w:rsidP="00C02D9B">
      <w:pPr>
        <w:pStyle w:val="Heading2"/>
      </w:pPr>
      <w:bookmarkStart w:id="101" w:name="_Toc249155405"/>
      <w:r>
        <w:t>Discussion</w:t>
      </w:r>
      <w:bookmarkEnd w:id="101"/>
    </w:p>
    <w:p w14:paraId="4BC8A417" w14:textId="77777777" w:rsidR="00C02D9B" w:rsidRDefault="00C02D9B" w:rsidP="00C02D9B"/>
    <w:p w14:paraId="6B4BD21B" w14:textId="77777777" w:rsidR="00C02D9B" w:rsidRDefault="00C02D9B" w:rsidP="00C02D9B">
      <w:pPr>
        <w:pStyle w:val="Heading1"/>
      </w:pPr>
      <w:bookmarkStart w:id="102" w:name="_Toc249155406"/>
      <w:r>
        <w:t>Synthesis and Conclusion</w:t>
      </w:r>
      <w:bookmarkEnd w:id="102"/>
    </w:p>
    <w:p w14:paraId="56C84826" w14:textId="77777777" w:rsidR="00C02D9B" w:rsidRPr="00C02D9B" w:rsidRDefault="00C02D9B" w:rsidP="00C02D9B"/>
    <w:sectPr w:rsidR="00C02D9B" w:rsidRPr="00C02D9B" w:rsidSect="007570D3">
      <w:footerReference w:type="even" r:id="rId38"/>
      <w:footerReference w:type="default" r:id="rId3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F451C2" w:rsidRDefault="00F451C2" w:rsidP="009454B5">
      <w:r>
        <w:separator/>
      </w:r>
    </w:p>
  </w:endnote>
  <w:endnote w:type="continuationSeparator" w:id="0">
    <w:p w14:paraId="155D416A" w14:textId="77777777" w:rsidR="00F451C2" w:rsidRDefault="00F451C2"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F451C2" w:rsidRDefault="00F451C2"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F451C2" w:rsidRDefault="00F451C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F451C2" w:rsidRDefault="00F451C2"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5757">
      <w:rPr>
        <w:rStyle w:val="PageNumber"/>
        <w:noProof/>
      </w:rPr>
      <w:t>1</w:t>
    </w:r>
    <w:r>
      <w:rPr>
        <w:rStyle w:val="PageNumber"/>
      </w:rPr>
      <w:fldChar w:fldCharType="end"/>
    </w:r>
  </w:p>
  <w:p w14:paraId="2CD03A74" w14:textId="77777777" w:rsidR="00F451C2" w:rsidRDefault="00F451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F451C2" w:rsidRDefault="00F451C2" w:rsidP="009454B5">
      <w:r>
        <w:separator/>
      </w:r>
    </w:p>
  </w:footnote>
  <w:footnote w:type="continuationSeparator" w:id="0">
    <w:p w14:paraId="1F85A63E" w14:textId="77777777" w:rsidR="00F451C2" w:rsidRDefault="00F451C2"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71B1D"/>
    <w:rsid w:val="00086257"/>
    <w:rsid w:val="00173404"/>
    <w:rsid w:val="002214CA"/>
    <w:rsid w:val="00295E93"/>
    <w:rsid w:val="002A3DE3"/>
    <w:rsid w:val="0030116B"/>
    <w:rsid w:val="00305757"/>
    <w:rsid w:val="00326AC2"/>
    <w:rsid w:val="00353A53"/>
    <w:rsid w:val="00363A7C"/>
    <w:rsid w:val="00367483"/>
    <w:rsid w:val="00426D9F"/>
    <w:rsid w:val="00433E37"/>
    <w:rsid w:val="0059047D"/>
    <w:rsid w:val="005B03F6"/>
    <w:rsid w:val="005E6037"/>
    <w:rsid w:val="00650BE8"/>
    <w:rsid w:val="0070002F"/>
    <w:rsid w:val="00722A74"/>
    <w:rsid w:val="00732DA8"/>
    <w:rsid w:val="007570D3"/>
    <w:rsid w:val="00860E0A"/>
    <w:rsid w:val="008677CA"/>
    <w:rsid w:val="008B06D8"/>
    <w:rsid w:val="00941786"/>
    <w:rsid w:val="009454B5"/>
    <w:rsid w:val="00A14DF5"/>
    <w:rsid w:val="00A42AD1"/>
    <w:rsid w:val="00A61FA8"/>
    <w:rsid w:val="00AC2C9D"/>
    <w:rsid w:val="00B12147"/>
    <w:rsid w:val="00C02D9B"/>
    <w:rsid w:val="00C44DB0"/>
    <w:rsid w:val="00CC339E"/>
    <w:rsid w:val="00CD79A7"/>
    <w:rsid w:val="00D37AAA"/>
    <w:rsid w:val="00D62029"/>
    <w:rsid w:val="00D826A9"/>
    <w:rsid w:val="00DB3ADB"/>
    <w:rsid w:val="00DF70F0"/>
    <w:rsid w:val="00E01B09"/>
    <w:rsid w:val="00E57114"/>
    <w:rsid w:val="00EF2726"/>
    <w:rsid w:val="00F11BEB"/>
    <w:rsid w:val="00F451C2"/>
    <w:rsid w:val="00F6256A"/>
    <w:rsid w:val="00FA07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hyperlink" Target="http://bioinfogp.cnb.csic.es/tools/venny/index.html"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www.r-project.org" TargetMode="External"/><Relationship Id="rId24" Type="http://schemas.openxmlformats.org/officeDocument/2006/relationships/hyperlink" Target="http://www.r-project.org" TargetMode="External"/><Relationship Id="rId25" Type="http://schemas.openxmlformats.org/officeDocument/2006/relationships/hyperlink" Target="http://uniprot.org" TargetMode="External"/><Relationship Id="rId26" Type="http://schemas.openxmlformats.org/officeDocument/2006/relationships/hyperlink" Target="http://david.abcc.ncifcrf.gov/" TargetMode="External"/><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25.jp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81</Pages>
  <Words>51097</Words>
  <Characters>291258</Characters>
  <Application>Microsoft Macintosh Word</Application>
  <DocSecurity>0</DocSecurity>
  <Lines>2427</Lines>
  <Paragraphs>683</Paragraphs>
  <ScaleCrop>false</ScaleCrop>
  <Company>University of Washington</Company>
  <LinksUpToDate>false</LinksUpToDate>
  <CharactersWithSpaces>341672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17</cp:revision>
  <dcterms:created xsi:type="dcterms:W3CDTF">2013-10-01T12:17:00Z</dcterms:created>
  <dcterms:modified xsi:type="dcterms:W3CDTF">2013-12-20T10:38:00Z</dcterms:modified>
</cp:coreProperties>
</file>